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F3DE3">
      <w:pPr>
        <w:spacing w:before="140" w:line="218" w:lineRule="auto"/>
        <w:ind w:left="3191"/>
        <w:rPr>
          <w:rFonts w:ascii="宋体" w:hAnsi="宋体" w:eastAsia="宋体" w:cs="宋体"/>
          <w:sz w:val="43"/>
          <w:szCs w:val="43"/>
        </w:rPr>
      </w:pPr>
      <w:r>
        <w:rPr>
          <w:rFonts w:hint="eastAsia" w:ascii="宋体" w:hAnsi="宋体" w:eastAsia="宋体" w:cs="宋体"/>
          <w:b/>
          <w:bCs/>
          <w:sz w:val="43"/>
          <w:szCs w:val="43"/>
          <w:lang w:val="en-US" w:eastAsia="zh-CN"/>
        </w:rPr>
        <w:t>需求</w:t>
      </w:r>
      <w:r>
        <w:rPr>
          <w:rFonts w:ascii="宋体" w:hAnsi="宋体" w:eastAsia="宋体" w:cs="宋体"/>
          <w:b/>
          <w:bCs/>
          <w:sz w:val="43"/>
          <w:szCs w:val="43"/>
        </w:rPr>
        <w:t>要素</w:t>
      </w:r>
    </w:p>
    <w:p w14:paraId="3969C4E0">
      <w:pPr>
        <w:spacing w:line="310" w:lineRule="auto"/>
        <w:rPr>
          <w:rFonts w:ascii="Arial"/>
          <w:sz w:val="21"/>
        </w:rPr>
      </w:pPr>
    </w:p>
    <w:p w14:paraId="639F0DB4">
      <w:pPr>
        <w:pStyle w:val="2"/>
        <w:spacing w:line="212" w:lineRule="auto"/>
        <w:ind w:left="739"/>
        <w:rPr>
          <w:rFonts w:hint="eastAsia" w:eastAsia="黑体"/>
          <w:b w:val="0"/>
          <w:bCs w:val="0"/>
          <w:lang w:val="en-US" w:eastAsia="zh-CN"/>
        </w:rPr>
      </w:pPr>
      <w:r>
        <w:rPr>
          <w:b/>
          <w:bCs/>
          <w:spacing w:val="7"/>
        </w:rPr>
        <w:t>一</w:t>
      </w:r>
      <w:r>
        <w:rPr>
          <w:spacing w:val="-34"/>
        </w:rPr>
        <w:t xml:space="preserve"> </w:t>
      </w:r>
      <w:r>
        <w:rPr>
          <w:b/>
          <w:bCs/>
          <w:spacing w:val="7"/>
        </w:rPr>
        <w:t>、</w:t>
      </w:r>
      <w:r>
        <w:rPr>
          <w:rFonts w:ascii="黑体" w:hAnsi="黑体" w:eastAsia="黑体" w:cs="黑体"/>
          <w:b/>
          <w:bCs/>
          <w:spacing w:val="7"/>
        </w:rPr>
        <w:t>项目名称</w:t>
      </w:r>
      <w:r>
        <w:rPr>
          <w:b/>
          <w:bCs/>
          <w:spacing w:val="7"/>
        </w:rPr>
        <w:t>：</w:t>
      </w:r>
      <w:r>
        <w:rPr>
          <w:rFonts w:hint="eastAsia" w:ascii="黑体" w:hAnsi="黑体" w:eastAsia="黑体" w:cs="黑体"/>
          <w:b w:val="0"/>
          <w:bCs w:val="0"/>
          <w:spacing w:val="7"/>
        </w:rPr>
        <w:t>安全隔离与信息交换</w:t>
      </w:r>
      <w:r>
        <w:rPr>
          <w:rFonts w:hint="eastAsia" w:ascii="黑体" w:hAnsi="黑体" w:eastAsia="黑体" w:cs="黑体"/>
          <w:b w:val="0"/>
          <w:bCs w:val="0"/>
          <w:spacing w:val="7"/>
          <w:lang w:val="en-US" w:eastAsia="zh-CN"/>
        </w:rPr>
        <w:t>设备</w:t>
      </w:r>
    </w:p>
    <w:p w14:paraId="029B2483">
      <w:pPr>
        <w:spacing w:before="168" w:line="219" w:lineRule="auto"/>
        <w:ind w:left="73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3"/>
          <w:sz w:val="31"/>
          <w:szCs w:val="31"/>
        </w:rPr>
        <w:t>二、采购需求</w:t>
      </w:r>
    </w:p>
    <w:p w14:paraId="3724C1F7">
      <w:pPr>
        <w:spacing w:line="31" w:lineRule="exact"/>
      </w:pPr>
    </w:p>
    <w:tbl>
      <w:tblPr>
        <w:tblStyle w:val="6"/>
        <w:tblW w:w="89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706"/>
        <w:gridCol w:w="5489"/>
      </w:tblGrid>
      <w:tr w14:paraId="10207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84" w:type="dxa"/>
            <w:vAlign w:val="top"/>
          </w:tcPr>
          <w:p w14:paraId="44CFE4CD">
            <w:pPr>
              <w:pStyle w:val="5"/>
              <w:spacing w:before="64" w:line="217" w:lineRule="auto"/>
              <w:ind w:left="109"/>
            </w:pPr>
            <w:r>
              <w:rPr>
                <w:b/>
                <w:bCs/>
                <w:spacing w:val="-6"/>
              </w:rPr>
              <w:t>序号</w:t>
            </w:r>
          </w:p>
        </w:tc>
        <w:tc>
          <w:tcPr>
            <w:tcW w:w="2706" w:type="dxa"/>
            <w:vAlign w:val="top"/>
          </w:tcPr>
          <w:p w14:paraId="02F601CC">
            <w:pPr>
              <w:pStyle w:val="5"/>
              <w:spacing w:before="60" w:line="218" w:lineRule="auto"/>
              <w:ind w:left="815"/>
            </w:pPr>
            <w:r>
              <w:rPr>
                <w:b/>
                <w:bCs/>
                <w:spacing w:val="-5"/>
              </w:rPr>
              <w:t>询价要素</w:t>
            </w:r>
          </w:p>
        </w:tc>
        <w:tc>
          <w:tcPr>
            <w:tcW w:w="5489" w:type="dxa"/>
            <w:vAlign w:val="top"/>
          </w:tcPr>
          <w:p w14:paraId="086C9E84">
            <w:pPr>
              <w:pStyle w:val="5"/>
              <w:spacing w:before="60" w:line="219" w:lineRule="auto"/>
              <w:ind w:left="519"/>
              <w:rPr>
                <w:rFonts w:hint="default" w:eastAsia="宋体"/>
                <w:b/>
                <w:bCs/>
                <w:spacing w:val="-5"/>
                <w:lang w:val="en-US" w:eastAsia="zh-CN"/>
              </w:rPr>
            </w:pPr>
            <w:r>
              <w:rPr>
                <w:rFonts w:hint="eastAsia"/>
                <w:b/>
                <w:bCs/>
                <w:spacing w:val="-5"/>
                <w:lang w:val="en-US" w:eastAsia="zh-CN"/>
              </w:rPr>
              <w:t>采购需求</w:t>
            </w:r>
          </w:p>
        </w:tc>
      </w:tr>
      <w:tr w14:paraId="402385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784" w:type="dxa"/>
            <w:vAlign w:val="top"/>
          </w:tcPr>
          <w:p w14:paraId="22C2B857">
            <w:pPr>
              <w:pStyle w:val="5"/>
              <w:spacing w:before="290" w:line="241" w:lineRule="auto"/>
              <w:ind w:left="314"/>
            </w:pPr>
            <w:r>
              <w:t>1</w:t>
            </w:r>
          </w:p>
        </w:tc>
        <w:tc>
          <w:tcPr>
            <w:tcW w:w="2706" w:type="dxa"/>
            <w:vAlign w:val="top"/>
          </w:tcPr>
          <w:p w14:paraId="38406A25">
            <w:pPr>
              <w:pStyle w:val="5"/>
              <w:spacing w:before="260" w:line="219" w:lineRule="auto"/>
              <w:ind w:left="110"/>
            </w:pPr>
            <w:r>
              <w:rPr>
                <w:spacing w:val="1"/>
              </w:rPr>
              <w:t>采购目标与用途</w:t>
            </w:r>
          </w:p>
        </w:tc>
        <w:tc>
          <w:tcPr>
            <w:tcW w:w="5489" w:type="dxa"/>
            <w:vAlign w:val="top"/>
          </w:tcPr>
          <w:p w14:paraId="33C30491">
            <w:pPr>
              <w:pStyle w:val="5"/>
              <w:spacing w:before="31" w:line="249" w:lineRule="auto"/>
              <w:ind w:left="104" w:right="38"/>
              <w:rPr>
                <w:rFonts w:hint="default"/>
                <w:spacing w:val="3"/>
                <w:sz w:val="28"/>
                <w:szCs w:val="28"/>
                <w:lang w:val="en-US"/>
              </w:rPr>
            </w:pPr>
            <w:r>
              <w:rPr>
                <w:rFonts w:hint="eastAsia"/>
                <w:spacing w:val="1"/>
                <w:sz w:val="28"/>
                <w:szCs w:val="28"/>
              </w:rPr>
              <w:t>根据《网络安全法</w:t>
            </w:r>
            <w:r>
              <w:rPr>
                <w:rFonts w:hint="eastAsia"/>
                <w:spacing w:val="1"/>
                <w:sz w:val="28"/>
                <w:szCs w:val="28"/>
                <w:lang w:eastAsia="zh-CN"/>
              </w:rPr>
              <w:t>》、</w:t>
            </w:r>
            <w:r>
              <w:rPr>
                <w:rFonts w:hint="eastAsia"/>
                <w:spacing w:val="1"/>
                <w:sz w:val="28"/>
                <w:szCs w:val="28"/>
              </w:rPr>
              <w:t>《数据安全法》</w:t>
            </w:r>
            <w:r>
              <w:rPr>
                <w:rFonts w:hint="eastAsia"/>
                <w:spacing w:val="1"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spacing w:val="1"/>
                <w:sz w:val="28"/>
                <w:szCs w:val="28"/>
              </w:rPr>
              <w:t>“等级保护2.0”制度</w:t>
            </w:r>
            <w:r>
              <w:rPr>
                <w:rFonts w:hint="eastAsia"/>
                <w:spacing w:val="1"/>
                <w:sz w:val="28"/>
                <w:szCs w:val="28"/>
                <w:lang w:eastAsia="zh-CN"/>
              </w:rPr>
              <w:t>、“</w:t>
            </w:r>
            <w:r>
              <w:rPr>
                <w:rFonts w:hint="eastAsia"/>
                <w:spacing w:val="1"/>
                <w:sz w:val="28"/>
                <w:szCs w:val="28"/>
                <w:lang w:val="en-US" w:eastAsia="zh-CN"/>
              </w:rPr>
              <w:t>成都市两定机构巡检</w:t>
            </w:r>
            <w:r>
              <w:rPr>
                <w:rFonts w:hint="eastAsia"/>
                <w:spacing w:val="1"/>
                <w:sz w:val="28"/>
                <w:szCs w:val="28"/>
                <w:lang w:eastAsia="zh-CN"/>
              </w:rPr>
              <w:t>”</w:t>
            </w:r>
            <w:r>
              <w:rPr>
                <w:rFonts w:hint="eastAsia"/>
                <w:spacing w:val="1"/>
                <w:sz w:val="28"/>
                <w:szCs w:val="28"/>
                <w:lang w:val="en-US" w:eastAsia="zh-CN"/>
              </w:rPr>
              <w:t>等</w:t>
            </w:r>
            <w:r>
              <w:rPr>
                <w:rFonts w:hint="eastAsia"/>
                <w:spacing w:val="1"/>
                <w:sz w:val="28"/>
                <w:szCs w:val="28"/>
              </w:rPr>
              <w:t>要求，落实《关键信息基础设施安全保护条例》中关于“安全隔离与信息交换”的强制性规定。</w:t>
            </w:r>
            <w:r>
              <w:rPr>
                <w:rFonts w:hint="eastAsia"/>
                <w:spacing w:val="1"/>
                <w:sz w:val="28"/>
                <w:szCs w:val="28"/>
                <w:lang w:val="en-US" w:eastAsia="zh-CN"/>
              </w:rPr>
              <w:t>设备通过“协议剥离”与“数据摆渡”机制，切断TCP/IP等网络协议的物理连接，阻止未知网络攻击的穿透,实现物理意义上内外网隔离的同时,支撑跨网数据实时同步、透明传输，弥补现有网络架构中跨网域交互的安全盲点，保障我院网络信息安全。</w:t>
            </w:r>
          </w:p>
        </w:tc>
      </w:tr>
      <w:tr w14:paraId="7807C3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784" w:type="dxa"/>
            <w:vAlign w:val="top"/>
          </w:tcPr>
          <w:p w14:paraId="1681D632">
            <w:pPr>
              <w:pStyle w:val="5"/>
              <w:spacing w:before="93" w:line="195" w:lineRule="auto"/>
              <w:ind w:left="314"/>
            </w:pPr>
            <w:r>
              <w:t>2</w:t>
            </w:r>
          </w:p>
        </w:tc>
        <w:tc>
          <w:tcPr>
            <w:tcW w:w="2706" w:type="dxa"/>
            <w:vAlign w:val="top"/>
          </w:tcPr>
          <w:p w14:paraId="3A159465">
            <w:pPr>
              <w:pStyle w:val="5"/>
              <w:spacing w:before="64" w:line="214" w:lineRule="auto"/>
              <w:ind w:left="110"/>
            </w:pPr>
            <w:r>
              <w:rPr>
                <w:spacing w:val="1"/>
              </w:rPr>
              <w:t>标的物</w:t>
            </w:r>
          </w:p>
        </w:tc>
        <w:tc>
          <w:tcPr>
            <w:tcW w:w="5489" w:type="dxa"/>
            <w:vAlign w:val="top"/>
          </w:tcPr>
          <w:p w14:paraId="33F614FF">
            <w:pPr>
              <w:pStyle w:val="5"/>
              <w:spacing w:before="64" w:line="214" w:lineRule="auto"/>
              <w:ind w:left="84"/>
              <w:rPr>
                <w:rFonts w:hint="eastAsia" w:eastAsia="黑体"/>
                <w:spacing w:val="1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1"/>
                <w:sz w:val="28"/>
                <w:szCs w:val="28"/>
                <w:lang w:val="en-US" w:eastAsia="zh-CN"/>
              </w:rPr>
              <w:t>安全隔离与信息交换设备</w:t>
            </w:r>
          </w:p>
        </w:tc>
      </w:tr>
      <w:tr w14:paraId="37B9DB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784" w:type="dxa"/>
            <w:vAlign w:val="top"/>
          </w:tcPr>
          <w:p w14:paraId="1FDD5707">
            <w:pPr>
              <w:pStyle w:val="5"/>
              <w:spacing w:before="293"/>
              <w:ind w:left="314"/>
            </w:pPr>
            <w:r>
              <w:t>3</w:t>
            </w:r>
          </w:p>
        </w:tc>
        <w:tc>
          <w:tcPr>
            <w:tcW w:w="2706" w:type="dxa"/>
            <w:vAlign w:val="top"/>
          </w:tcPr>
          <w:p w14:paraId="1A9413BD">
            <w:pPr>
              <w:pStyle w:val="5"/>
              <w:spacing w:before="266" w:line="219" w:lineRule="auto"/>
              <w:ind w:left="110"/>
            </w:pPr>
            <w:r>
              <w:rPr>
                <w:spacing w:val="1"/>
              </w:rPr>
              <w:t>功能性能</w:t>
            </w:r>
          </w:p>
        </w:tc>
        <w:tc>
          <w:tcPr>
            <w:tcW w:w="5489" w:type="dxa"/>
            <w:vAlign w:val="top"/>
          </w:tcPr>
          <w:p w14:paraId="4D6ABF90">
            <w:pPr>
              <w:pStyle w:val="5"/>
              <w:spacing w:before="44" w:line="245" w:lineRule="auto"/>
              <w:ind w:left="104" w:firstLine="9"/>
              <w:rPr>
                <w:rFonts w:hint="eastAsia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6"/>
                <w:sz w:val="28"/>
                <w:szCs w:val="28"/>
                <w:lang w:val="en-US" w:eastAsia="zh-CN"/>
              </w:rPr>
              <w:t>设备功能：</w:t>
            </w:r>
          </w:p>
          <w:p w14:paraId="1F2A8626">
            <w:pPr>
              <w:pStyle w:val="5"/>
              <w:numPr>
                <w:ilvl w:val="0"/>
                <w:numId w:val="0"/>
              </w:numPr>
              <w:spacing w:before="44" w:line="245" w:lineRule="auto"/>
              <w:ind w:left="104" w:leftChars="0" w:firstLine="9" w:firstLineChars="0"/>
              <w:rPr>
                <w:rFonts w:hint="default" w:eastAsia="宋体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6"/>
                <w:sz w:val="28"/>
                <w:szCs w:val="28"/>
                <w:lang w:val="en-US" w:eastAsia="zh-CN"/>
              </w:rPr>
              <w:t>具有文件交换、数据库访问和同步、视频交换、访问交换等必备的基础功能模块。可扩展URL库、应用识别库、病毒库并更新升级</w:t>
            </w:r>
            <w:r>
              <w:rPr>
                <w:rFonts w:hint="eastAsia"/>
                <w:spacing w:val="6"/>
                <w:sz w:val="28"/>
                <w:szCs w:val="28"/>
              </w:rPr>
              <w:t>≥</w:t>
            </w:r>
            <w:r>
              <w:rPr>
                <w:rFonts w:hint="eastAsia"/>
                <w:spacing w:val="6"/>
                <w:sz w:val="28"/>
                <w:szCs w:val="28"/>
                <w:lang w:val="en-US" w:eastAsia="zh-CN"/>
              </w:rPr>
              <w:t>3年。</w:t>
            </w:r>
          </w:p>
          <w:p w14:paraId="56B4CD40">
            <w:pPr>
              <w:pStyle w:val="5"/>
              <w:spacing w:before="44" w:line="245" w:lineRule="auto"/>
              <w:ind w:left="104" w:firstLine="9"/>
              <w:rPr>
                <w:rFonts w:hint="default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6"/>
                <w:sz w:val="28"/>
                <w:szCs w:val="28"/>
                <w:lang w:val="en-US" w:eastAsia="zh-CN"/>
              </w:rPr>
              <w:t>设备性能：</w:t>
            </w:r>
          </w:p>
          <w:p w14:paraId="4332906F">
            <w:pPr>
              <w:pStyle w:val="5"/>
              <w:spacing w:before="44" w:line="245" w:lineRule="auto"/>
              <w:ind w:left="104" w:firstLine="9"/>
              <w:rPr>
                <w:rFonts w:hint="default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6"/>
                <w:sz w:val="28"/>
                <w:szCs w:val="28"/>
                <w:lang w:val="en-US" w:eastAsia="zh-CN"/>
              </w:rPr>
              <w:t>规格：标准机架式（1U或2U）</w:t>
            </w:r>
          </w:p>
          <w:p w14:paraId="2BC11237">
            <w:pPr>
              <w:pStyle w:val="5"/>
              <w:spacing w:before="44" w:line="245" w:lineRule="auto"/>
              <w:ind w:left="104" w:firstLine="9"/>
              <w:rPr>
                <w:rFonts w:hint="eastAsia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6"/>
                <w:sz w:val="28"/>
                <w:szCs w:val="28"/>
                <w:lang w:val="en-US" w:eastAsia="zh-CN"/>
              </w:rPr>
              <w:t>架构：2+1架构</w:t>
            </w:r>
          </w:p>
          <w:p w14:paraId="3EBD8C8B">
            <w:pPr>
              <w:pStyle w:val="5"/>
              <w:spacing w:before="44" w:line="245" w:lineRule="auto"/>
              <w:ind w:left="104" w:firstLine="9"/>
              <w:rPr>
                <w:rFonts w:hint="eastAsia" w:eastAsia="宋体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6"/>
                <w:sz w:val="28"/>
                <w:szCs w:val="28"/>
                <w:lang w:val="en-US" w:eastAsia="zh-CN"/>
              </w:rPr>
              <w:t>整机</w:t>
            </w:r>
            <w:r>
              <w:rPr>
                <w:rFonts w:hint="eastAsia"/>
                <w:spacing w:val="6"/>
                <w:sz w:val="28"/>
                <w:szCs w:val="28"/>
              </w:rPr>
              <w:t>吞吐量</w:t>
            </w:r>
            <w:r>
              <w:rPr>
                <w:rFonts w:hint="eastAsia"/>
                <w:spacing w:val="6"/>
                <w:sz w:val="28"/>
                <w:szCs w:val="28"/>
                <w:lang w:eastAsia="zh-CN"/>
              </w:rPr>
              <w:t>：</w:t>
            </w:r>
            <w:r>
              <w:rPr>
                <w:rFonts w:hint="eastAsia"/>
                <w:spacing w:val="6"/>
                <w:sz w:val="28"/>
                <w:szCs w:val="28"/>
              </w:rPr>
              <w:t>≥</w:t>
            </w:r>
            <w:r>
              <w:rPr>
                <w:rFonts w:hint="eastAsia"/>
                <w:spacing w:val="6"/>
                <w:sz w:val="28"/>
                <w:szCs w:val="28"/>
                <w:lang w:val="en-US" w:eastAsia="zh-CN"/>
              </w:rPr>
              <w:t>700</w:t>
            </w:r>
            <w:r>
              <w:rPr>
                <w:rFonts w:hint="eastAsia"/>
                <w:spacing w:val="6"/>
                <w:sz w:val="28"/>
                <w:szCs w:val="28"/>
              </w:rPr>
              <w:t>Mbps</w:t>
            </w:r>
          </w:p>
          <w:p w14:paraId="517BCDEB">
            <w:pPr>
              <w:pStyle w:val="5"/>
              <w:spacing w:before="44" w:line="245" w:lineRule="auto"/>
              <w:ind w:left="104" w:firstLine="9"/>
              <w:rPr>
                <w:rFonts w:hint="eastAsia" w:eastAsia="宋体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6"/>
                <w:sz w:val="28"/>
                <w:szCs w:val="28"/>
              </w:rPr>
              <w:t>并发连接数：≥10</w:t>
            </w:r>
            <w:r>
              <w:rPr>
                <w:rFonts w:hint="eastAsia"/>
                <w:spacing w:val="6"/>
                <w:sz w:val="28"/>
                <w:szCs w:val="28"/>
                <w:lang w:val="en-US" w:eastAsia="zh-CN"/>
              </w:rPr>
              <w:t>万</w:t>
            </w:r>
          </w:p>
          <w:p w14:paraId="65BFA27E">
            <w:pPr>
              <w:pStyle w:val="5"/>
              <w:spacing w:before="44" w:line="245" w:lineRule="auto"/>
              <w:ind w:left="104" w:firstLine="9"/>
              <w:rPr>
                <w:rFonts w:hint="eastAsia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6"/>
                <w:sz w:val="28"/>
                <w:szCs w:val="28"/>
                <w:lang w:val="en-US" w:eastAsia="zh-CN"/>
              </w:rPr>
              <w:t>数据库同步性能：</w:t>
            </w:r>
            <w:r>
              <w:rPr>
                <w:rFonts w:hint="eastAsia"/>
                <w:spacing w:val="6"/>
                <w:sz w:val="28"/>
                <w:szCs w:val="28"/>
              </w:rPr>
              <w:t>≥</w:t>
            </w:r>
            <w:r>
              <w:rPr>
                <w:rFonts w:hint="eastAsia"/>
                <w:spacing w:val="6"/>
                <w:sz w:val="28"/>
                <w:szCs w:val="28"/>
                <w:lang w:val="en-US" w:eastAsia="zh-CN"/>
              </w:rPr>
              <w:t>10000条/秒</w:t>
            </w:r>
          </w:p>
          <w:p w14:paraId="4ACF4CF3">
            <w:pPr>
              <w:pStyle w:val="5"/>
              <w:spacing w:before="44" w:line="245" w:lineRule="auto"/>
              <w:ind w:left="104" w:firstLine="9"/>
              <w:rPr>
                <w:rFonts w:hint="eastAsia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6"/>
                <w:sz w:val="28"/>
                <w:szCs w:val="28"/>
                <w:lang w:val="en-US" w:eastAsia="zh-CN"/>
              </w:rPr>
              <w:t>1Kb文件同步性能：</w:t>
            </w:r>
            <w:r>
              <w:rPr>
                <w:rFonts w:hint="eastAsia"/>
                <w:spacing w:val="6"/>
                <w:sz w:val="28"/>
                <w:szCs w:val="28"/>
              </w:rPr>
              <w:t>≥</w:t>
            </w:r>
            <w:r>
              <w:rPr>
                <w:rFonts w:hint="eastAsia"/>
                <w:spacing w:val="6"/>
                <w:sz w:val="28"/>
                <w:szCs w:val="28"/>
                <w:lang w:val="en-US" w:eastAsia="zh-CN"/>
              </w:rPr>
              <w:t>3000个/秒</w:t>
            </w:r>
          </w:p>
          <w:p w14:paraId="582EFEAB">
            <w:pPr>
              <w:pStyle w:val="5"/>
              <w:spacing w:before="44" w:line="245" w:lineRule="auto"/>
              <w:ind w:left="104" w:firstLine="9"/>
              <w:rPr>
                <w:rFonts w:hint="eastAsia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6"/>
                <w:sz w:val="28"/>
                <w:szCs w:val="28"/>
                <w:lang w:val="en-US" w:eastAsia="zh-CN"/>
              </w:rPr>
              <w:t>数据传输延时：≤20ms</w:t>
            </w:r>
          </w:p>
          <w:p w14:paraId="25B1EAD3">
            <w:pPr>
              <w:pStyle w:val="5"/>
              <w:spacing w:before="44" w:line="245" w:lineRule="auto"/>
              <w:ind w:left="104" w:firstLine="9"/>
              <w:rPr>
                <w:rFonts w:hint="eastAsia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6"/>
                <w:sz w:val="28"/>
                <w:szCs w:val="28"/>
                <w:lang w:val="en-US" w:eastAsia="zh-CN"/>
              </w:rPr>
              <w:t>平均无故障时间：（MTBF）≥70000h</w:t>
            </w:r>
          </w:p>
          <w:p w14:paraId="20BFEA4F">
            <w:pPr>
              <w:pStyle w:val="5"/>
              <w:spacing w:before="44" w:line="245" w:lineRule="auto"/>
              <w:ind w:left="104" w:firstLine="9"/>
              <w:rPr>
                <w:rFonts w:hint="eastAsia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6"/>
                <w:sz w:val="28"/>
                <w:szCs w:val="28"/>
                <w:lang w:val="en-US" w:eastAsia="zh-CN"/>
              </w:rPr>
              <w:t>开关切换时间：&lt;10ns</w:t>
            </w:r>
          </w:p>
          <w:p w14:paraId="5BAD1450">
            <w:pPr>
              <w:pStyle w:val="5"/>
              <w:spacing w:before="44" w:line="245" w:lineRule="auto"/>
              <w:ind w:left="104" w:firstLine="9"/>
              <w:rPr>
                <w:rFonts w:hint="eastAsia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6"/>
                <w:sz w:val="28"/>
                <w:szCs w:val="28"/>
                <w:lang w:val="en-US" w:eastAsia="zh-CN"/>
              </w:rPr>
              <w:t>内外网各内存：≥16GB</w:t>
            </w:r>
          </w:p>
          <w:p w14:paraId="2C8AFB98">
            <w:pPr>
              <w:pStyle w:val="5"/>
              <w:spacing w:before="44" w:line="245" w:lineRule="auto"/>
              <w:ind w:left="104" w:firstLine="9"/>
              <w:rPr>
                <w:rFonts w:hint="eastAsia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6"/>
                <w:sz w:val="28"/>
                <w:szCs w:val="28"/>
                <w:lang w:val="en-US" w:eastAsia="zh-CN"/>
              </w:rPr>
              <w:t xml:space="preserve">硬盘(SSD+HDD)：≥960G </w:t>
            </w:r>
          </w:p>
          <w:p w14:paraId="71108318">
            <w:pPr>
              <w:pStyle w:val="5"/>
              <w:spacing w:before="44" w:line="245" w:lineRule="auto"/>
              <w:ind w:left="104" w:firstLine="9"/>
              <w:rPr>
                <w:rFonts w:hint="eastAsia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6"/>
                <w:sz w:val="28"/>
                <w:szCs w:val="28"/>
                <w:lang w:val="en-US" w:eastAsia="zh-CN"/>
              </w:rPr>
              <w:t>冗余电源：是</w:t>
            </w:r>
          </w:p>
          <w:p w14:paraId="74C5DCEA">
            <w:pPr>
              <w:pStyle w:val="5"/>
              <w:spacing w:before="44" w:line="245" w:lineRule="auto"/>
              <w:ind w:left="104" w:firstLine="9"/>
              <w:rPr>
                <w:rFonts w:hint="eastAsia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6"/>
                <w:sz w:val="28"/>
                <w:szCs w:val="28"/>
                <w:lang w:val="en-US" w:eastAsia="zh-CN"/>
              </w:rPr>
              <w:t>内外网各≥6个千兆电口（含Bypass）</w:t>
            </w:r>
          </w:p>
          <w:p w14:paraId="19303748">
            <w:pPr>
              <w:pStyle w:val="5"/>
              <w:spacing w:before="44" w:line="245" w:lineRule="auto"/>
              <w:ind w:left="104" w:firstLine="9"/>
              <w:rPr>
                <w:rFonts w:hint="default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6"/>
                <w:sz w:val="28"/>
                <w:szCs w:val="28"/>
                <w:lang w:val="en-US" w:eastAsia="zh-CN"/>
              </w:rPr>
              <w:t>SFP光口千兆光口：≥4个</w:t>
            </w:r>
          </w:p>
          <w:p w14:paraId="13D56835">
            <w:pPr>
              <w:pStyle w:val="5"/>
              <w:spacing w:before="44" w:line="245" w:lineRule="auto"/>
              <w:ind w:left="104" w:firstLine="9"/>
              <w:rPr>
                <w:rFonts w:hint="eastAsia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6"/>
                <w:sz w:val="28"/>
                <w:szCs w:val="28"/>
                <w:lang w:val="en-US" w:eastAsia="zh-CN"/>
              </w:rPr>
              <w:t>串口(RJ45)：≥1个</w:t>
            </w:r>
          </w:p>
        </w:tc>
      </w:tr>
      <w:tr w14:paraId="5F545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784" w:type="dxa"/>
            <w:vAlign w:val="top"/>
          </w:tcPr>
          <w:p w14:paraId="0AA33063">
            <w:pPr>
              <w:pStyle w:val="5"/>
              <w:spacing w:before="96" w:line="193" w:lineRule="auto"/>
              <w:ind w:left="314"/>
            </w:pPr>
            <w:r>
              <w:t>4</w:t>
            </w:r>
          </w:p>
        </w:tc>
        <w:tc>
          <w:tcPr>
            <w:tcW w:w="2706" w:type="dxa"/>
            <w:vAlign w:val="top"/>
          </w:tcPr>
          <w:p w14:paraId="642584DE">
            <w:pPr>
              <w:pStyle w:val="5"/>
              <w:spacing w:before="67" w:line="212" w:lineRule="auto"/>
              <w:ind w:left="110"/>
            </w:pPr>
            <w:r>
              <w:rPr>
                <w:spacing w:val="2"/>
              </w:rPr>
              <w:t>数量</w:t>
            </w:r>
          </w:p>
        </w:tc>
        <w:tc>
          <w:tcPr>
            <w:tcW w:w="5489" w:type="dxa"/>
            <w:vAlign w:val="top"/>
          </w:tcPr>
          <w:p w14:paraId="4BB62B26">
            <w:pPr>
              <w:pStyle w:val="5"/>
              <w:spacing w:before="65" w:line="213" w:lineRule="auto"/>
              <w:ind w:left="104"/>
              <w:rPr>
                <w:rFonts w:hint="default" w:eastAsia="宋体"/>
                <w:spacing w:val="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2"/>
                <w:sz w:val="28"/>
                <w:szCs w:val="28"/>
                <w:lang w:val="en-US" w:eastAsia="zh-CN"/>
              </w:rPr>
              <w:t>1台</w:t>
            </w:r>
          </w:p>
        </w:tc>
      </w:tr>
      <w:tr w14:paraId="27EC7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784" w:type="dxa"/>
            <w:vAlign w:val="top"/>
          </w:tcPr>
          <w:p w14:paraId="27398E5A">
            <w:pPr>
              <w:pStyle w:val="5"/>
              <w:spacing w:before="106" w:line="192" w:lineRule="auto"/>
              <w:ind w:left="314"/>
            </w:pPr>
            <w:r>
              <w:t>5</w:t>
            </w:r>
          </w:p>
        </w:tc>
        <w:tc>
          <w:tcPr>
            <w:tcW w:w="2706" w:type="dxa"/>
            <w:vAlign w:val="top"/>
          </w:tcPr>
          <w:p w14:paraId="76C6E845">
            <w:pPr>
              <w:pStyle w:val="5"/>
              <w:spacing w:before="79" w:line="210" w:lineRule="auto"/>
              <w:ind w:left="110"/>
            </w:pPr>
            <w:r>
              <w:rPr>
                <w:spacing w:val="3"/>
              </w:rPr>
              <w:t>商务要求</w:t>
            </w:r>
          </w:p>
        </w:tc>
        <w:tc>
          <w:tcPr>
            <w:tcW w:w="5489" w:type="dxa"/>
            <w:vAlign w:val="top"/>
          </w:tcPr>
          <w:p w14:paraId="22143A28">
            <w:pPr>
              <w:pStyle w:val="5"/>
              <w:numPr>
                <w:ilvl w:val="0"/>
                <w:numId w:val="0"/>
              </w:numPr>
              <w:spacing w:before="44" w:line="245" w:lineRule="auto"/>
              <w:ind w:left="104" w:leftChars="0" w:firstLine="9" w:firstLineChars="0"/>
              <w:rPr>
                <w:rFonts w:hint="default" w:ascii="宋体" w:hAnsi="宋体" w:cs="宋体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shd w:val="clear" w:color="auto" w:fill="FFFFFF"/>
              </w:rPr>
              <w:t>1.服务期限：</w:t>
            </w:r>
            <w:r>
              <w:rPr>
                <w:rFonts w:hint="eastAsia" w:cs="宋体"/>
                <w:sz w:val="24"/>
                <w:szCs w:val="24"/>
                <w:shd w:val="clear" w:color="auto" w:fill="FFFFFF"/>
                <w:lang w:val="en-US" w:eastAsia="zh-CN"/>
              </w:rPr>
              <w:t>1.1</w:t>
            </w:r>
            <w:r>
              <w:rPr>
                <w:rFonts w:hint="eastAsia" w:ascii="宋体" w:hAnsi="宋体" w:cs="宋体"/>
                <w:sz w:val="24"/>
                <w:szCs w:val="24"/>
                <w:shd w:val="clear" w:color="auto" w:fill="FFFFFF"/>
              </w:rPr>
              <w:t>合同签订后</w:t>
            </w:r>
            <w:r>
              <w:rPr>
                <w:rFonts w:hint="eastAsia" w:cs="宋体"/>
                <w:sz w:val="24"/>
                <w:szCs w:val="24"/>
                <w:shd w:val="clear" w:color="auto" w:fill="FFFFFF"/>
                <w:lang w:val="en-US" w:eastAsia="zh-CN"/>
              </w:rPr>
              <w:t>365日历</w:t>
            </w:r>
            <w:r>
              <w:rPr>
                <w:rFonts w:hint="eastAsia" w:ascii="宋体" w:hAnsi="宋体" w:cs="宋体"/>
                <w:sz w:val="24"/>
                <w:szCs w:val="24"/>
                <w:shd w:val="clear" w:color="auto" w:fill="FFFFFF"/>
              </w:rPr>
              <w:t>日内完成</w:t>
            </w:r>
            <w:r>
              <w:rPr>
                <w:rFonts w:hint="eastAsia" w:cs="宋体"/>
                <w:sz w:val="24"/>
                <w:szCs w:val="24"/>
                <w:shd w:val="clear" w:color="auto" w:fill="FFFFFF"/>
                <w:lang w:eastAsia="zh-CN"/>
              </w:rPr>
              <w:t>，提供至少3年的免费原厂维保和软件升级服务。</w:t>
            </w:r>
            <w:r>
              <w:rPr>
                <w:rFonts w:hint="eastAsia" w:ascii="宋体" w:hAnsi="宋体" w:cs="宋体"/>
                <w:sz w:val="24"/>
                <w:szCs w:val="24"/>
                <w:shd w:val="clear" w:color="auto" w:fill="FFFFFF"/>
                <w:lang w:val="en-US" w:eastAsia="zh-CN"/>
              </w:rPr>
              <w:t>1.2服务期限内提供</w:t>
            </w:r>
            <w:r>
              <w:rPr>
                <w:rFonts w:hint="eastAsia" w:ascii="宋体" w:hAnsi="宋体" w:cs="宋体"/>
                <w:sz w:val="24"/>
                <w:szCs w:val="24"/>
                <w:shd w:val="clear" w:color="auto" w:fill="FFFFFF"/>
              </w:rPr>
              <w:t>7×24小时响应，故障时在规定时限内（2-4小时）远程支持或抵达现场</w:t>
            </w:r>
            <w:r>
              <w:rPr>
                <w:rFonts w:hint="eastAsia" w:ascii="宋体" w:hAnsi="宋体" w:cs="宋体"/>
                <w:sz w:val="24"/>
                <w:szCs w:val="24"/>
                <w:shd w:val="clear" w:color="auto" w:fill="FFFFFF"/>
                <w:lang w:eastAsia="zh-CN"/>
              </w:rPr>
              <w:t>。</w:t>
            </w:r>
          </w:p>
          <w:p w14:paraId="40AE676B">
            <w:pPr>
              <w:pStyle w:val="5"/>
              <w:spacing w:before="79" w:line="210" w:lineRule="auto"/>
              <w:ind w:left="104"/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shd w:val="clear" w:color="auto" w:fill="FFFFFF"/>
              </w:rPr>
              <w:t>2.付款方式：2.1合同签订后，甲方在收到方开具相应项目款增值税发票后10个工作日内，支付金额为合同总金额</w:t>
            </w:r>
            <w:r>
              <w:rPr>
                <w:rFonts w:hint="eastAsia" w:cs="宋体"/>
                <w:sz w:val="24"/>
                <w:szCs w:val="24"/>
                <w:shd w:val="clear" w:color="auto" w:fill="FFFFFF"/>
                <w:lang w:val="en-US" w:eastAsia="zh-CN"/>
              </w:rPr>
              <w:t>40</w:t>
            </w:r>
            <w:r>
              <w:rPr>
                <w:rFonts w:hint="eastAsia" w:ascii="宋体" w:hAnsi="宋体" w:cs="宋体"/>
                <w:sz w:val="24"/>
                <w:szCs w:val="24"/>
                <w:shd w:val="clear" w:color="auto" w:fill="FFFFFF"/>
              </w:rPr>
              <w:t>%，2.2</w:t>
            </w:r>
            <w:r>
              <w:rPr>
                <w:rFonts w:hint="eastAsia" w:cs="宋体"/>
                <w:sz w:val="24"/>
                <w:szCs w:val="24"/>
                <w:shd w:val="clear" w:color="auto" w:fill="FFFFFF"/>
                <w:lang w:val="en-US" w:eastAsia="zh-CN"/>
              </w:rPr>
              <w:t>设备安装完成并正式启用后</w:t>
            </w:r>
            <w:r>
              <w:rPr>
                <w:rFonts w:hint="eastAsia" w:cs="宋体"/>
                <w:sz w:val="24"/>
                <w:szCs w:val="24"/>
                <w:shd w:val="clear" w:color="auto" w:fill="FFFFFF"/>
                <w:lang w:eastAsia="zh-CN"/>
              </w:rPr>
              <w:t>，</w:t>
            </w:r>
            <w:r>
              <w:rPr>
                <w:rFonts w:hint="eastAsia" w:cs="宋体"/>
                <w:sz w:val="24"/>
                <w:szCs w:val="24"/>
                <w:shd w:val="clear" w:color="auto" w:fill="FFFFFF"/>
                <w:lang w:val="en-US" w:eastAsia="zh-CN"/>
              </w:rPr>
              <w:t>乙方发起验收申请，验收报告双方签字盖章生效后</w:t>
            </w:r>
            <w:r>
              <w:rPr>
                <w:rFonts w:hint="eastAsia" w:ascii="宋体" w:hAnsi="宋体" w:cs="宋体"/>
                <w:sz w:val="24"/>
                <w:szCs w:val="24"/>
                <w:shd w:val="clear" w:color="auto" w:fill="FFFFFF"/>
              </w:rPr>
              <w:t>，甲方在收到乙方开具相应项目款增值税发票后，10个工作日内支付剩余的</w:t>
            </w:r>
            <w:r>
              <w:rPr>
                <w:rFonts w:hint="eastAsia" w:cs="宋体"/>
                <w:sz w:val="24"/>
                <w:szCs w:val="24"/>
                <w:shd w:val="clear" w:color="auto" w:fill="FFFFFF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sz w:val="24"/>
                <w:szCs w:val="24"/>
                <w:shd w:val="clear" w:color="auto" w:fill="FFFFFF"/>
              </w:rPr>
              <w:t>%</w:t>
            </w:r>
            <w:r>
              <w:rPr>
                <w:rFonts w:hint="eastAsia" w:cs="宋体"/>
                <w:sz w:val="24"/>
                <w:szCs w:val="24"/>
                <w:shd w:val="clear" w:color="auto" w:fill="FFFFFF"/>
                <w:lang w:eastAsia="zh-CN"/>
              </w:rPr>
              <w:t>。</w:t>
            </w:r>
          </w:p>
          <w:p w14:paraId="617A4733">
            <w:pPr>
              <w:pStyle w:val="5"/>
              <w:spacing w:before="79" w:line="210" w:lineRule="auto"/>
              <w:ind w:left="104"/>
              <w:rPr>
                <w:rFonts w:hint="eastAsia" w:cs="宋体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shd w:val="clear" w:color="auto" w:fill="FFFFFF"/>
              </w:rPr>
              <w:t>3.验收标准：</w:t>
            </w:r>
            <w:r>
              <w:rPr>
                <w:rFonts w:hint="eastAsia" w:cs="宋体"/>
                <w:sz w:val="24"/>
                <w:szCs w:val="24"/>
                <w:shd w:val="clear" w:color="auto" w:fill="FFFFFF"/>
                <w:lang w:val="en-US" w:eastAsia="zh-CN"/>
              </w:rPr>
              <w:t>3.1提供有效的《网络关键设备和网络安全专用产品安全认证证书》或《网络安全专用产品安全检测证书》。3.2提供由具备CNAS或CMA标识的第三方检测机构出具的检测报告，且报告中的功能、性能参数需与投标文件一致。符合新版国标GB/T 20279-2024（或其前版GB/T 20279-2015）的要求。</w:t>
            </w:r>
          </w:p>
          <w:p w14:paraId="41A95A13">
            <w:pPr>
              <w:pStyle w:val="5"/>
              <w:spacing w:before="79" w:line="210" w:lineRule="auto"/>
              <w:ind w:left="104"/>
              <w:rPr>
                <w:rFonts w:hint="default" w:cs="宋体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shd w:val="clear" w:color="auto" w:fill="FFFFFF"/>
                <w:lang w:val="en-US" w:eastAsia="zh-CN"/>
              </w:rPr>
              <w:t>3.3需移交全套技术文档，包括但不限于：设备部署拓扑图、详细的访问控制策略表、配置参数说明以及运维操作手册。</w:t>
            </w:r>
          </w:p>
        </w:tc>
      </w:tr>
      <w:tr w14:paraId="329A39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784" w:type="dxa"/>
            <w:vAlign w:val="top"/>
          </w:tcPr>
          <w:p w14:paraId="02DC17F7">
            <w:pPr>
              <w:pStyle w:val="5"/>
              <w:spacing w:before="98" w:line="188" w:lineRule="auto"/>
              <w:ind w:left="314"/>
            </w:pPr>
            <w:r>
              <w:t>6</w:t>
            </w:r>
          </w:p>
        </w:tc>
        <w:tc>
          <w:tcPr>
            <w:tcW w:w="2706" w:type="dxa"/>
            <w:vAlign w:val="top"/>
          </w:tcPr>
          <w:p w14:paraId="0C3B80EF">
            <w:pPr>
              <w:pStyle w:val="5"/>
              <w:spacing w:before="71" w:line="206" w:lineRule="auto"/>
              <w:ind w:left="110"/>
            </w:pPr>
            <w:r>
              <w:rPr>
                <w:spacing w:val="5"/>
              </w:rPr>
              <w:t>其他</w:t>
            </w:r>
          </w:p>
        </w:tc>
        <w:tc>
          <w:tcPr>
            <w:tcW w:w="5489" w:type="dxa"/>
            <w:vAlign w:val="top"/>
          </w:tcPr>
          <w:p w14:paraId="6A4417AF">
            <w:pPr>
              <w:pStyle w:val="5"/>
              <w:spacing w:before="71" w:line="206" w:lineRule="auto"/>
              <w:ind w:left="84"/>
              <w:rPr>
                <w:rFonts w:hint="eastAsia" w:eastAsia="宋体"/>
                <w:spacing w:val="1"/>
                <w:lang w:eastAsia="zh-CN"/>
              </w:rPr>
            </w:pPr>
          </w:p>
        </w:tc>
      </w:tr>
    </w:tbl>
    <w:p w14:paraId="21E396FC">
      <w:pPr>
        <w:spacing w:line="345" w:lineRule="auto"/>
        <w:rPr>
          <w:rFonts w:ascii="Arial"/>
          <w:sz w:val="21"/>
        </w:rPr>
      </w:pPr>
    </w:p>
    <w:p w14:paraId="3D434C24">
      <w:pPr>
        <w:pStyle w:val="2"/>
        <w:spacing w:before="98" w:line="222" w:lineRule="auto"/>
        <w:rPr>
          <w:spacing w:val="25"/>
        </w:rPr>
      </w:pPr>
    </w:p>
    <w:p w14:paraId="45B851A9">
      <w:pPr>
        <w:pStyle w:val="2"/>
        <w:spacing w:before="98" w:line="222" w:lineRule="auto"/>
        <w:ind w:left="154"/>
        <w:rPr>
          <w:spacing w:val="25"/>
        </w:rPr>
      </w:pPr>
    </w:p>
    <w:p w14:paraId="4EA8980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BA531B"/>
    <w:rsid w:val="010827C0"/>
    <w:rsid w:val="01BD2659"/>
    <w:rsid w:val="01BD7A4F"/>
    <w:rsid w:val="07566E5F"/>
    <w:rsid w:val="08A2174C"/>
    <w:rsid w:val="09945539"/>
    <w:rsid w:val="0F5F2145"/>
    <w:rsid w:val="157D50D3"/>
    <w:rsid w:val="187C5B16"/>
    <w:rsid w:val="1B0B4F2F"/>
    <w:rsid w:val="1DC67833"/>
    <w:rsid w:val="1E674B72"/>
    <w:rsid w:val="1EF503D0"/>
    <w:rsid w:val="20947775"/>
    <w:rsid w:val="21072E8B"/>
    <w:rsid w:val="27765674"/>
    <w:rsid w:val="2973261D"/>
    <w:rsid w:val="2C7C791A"/>
    <w:rsid w:val="2CB65A03"/>
    <w:rsid w:val="2D1265F1"/>
    <w:rsid w:val="30450A8C"/>
    <w:rsid w:val="32CA6AE3"/>
    <w:rsid w:val="346E08BC"/>
    <w:rsid w:val="3CAF1767"/>
    <w:rsid w:val="3DA40298"/>
    <w:rsid w:val="40224945"/>
    <w:rsid w:val="41206E76"/>
    <w:rsid w:val="451A5BEB"/>
    <w:rsid w:val="46B81B60"/>
    <w:rsid w:val="4C5D19A3"/>
    <w:rsid w:val="4D677E3B"/>
    <w:rsid w:val="502142D2"/>
    <w:rsid w:val="51D75590"/>
    <w:rsid w:val="52884ADC"/>
    <w:rsid w:val="54C0055D"/>
    <w:rsid w:val="5B85605C"/>
    <w:rsid w:val="5D885990"/>
    <w:rsid w:val="5E894DF5"/>
    <w:rsid w:val="61314591"/>
    <w:rsid w:val="63BA531B"/>
    <w:rsid w:val="6B9F3A28"/>
    <w:rsid w:val="712978E8"/>
    <w:rsid w:val="741F1BCD"/>
    <w:rsid w:val="74A72748"/>
    <w:rsid w:val="750D2EF3"/>
    <w:rsid w:val="769065B3"/>
    <w:rsid w:val="79B35609"/>
    <w:rsid w:val="7E851247"/>
    <w:rsid w:val="9775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892</Words>
  <Characters>1021</Characters>
  <Lines>0</Lines>
  <Paragraphs>0</Paragraphs>
  <TotalTime>21</TotalTime>
  <ScaleCrop>false</ScaleCrop>
  <LinksUpToDate>false</LinksUpToDate>
  <CharactersWithSpaces>1061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2026-07-21T11:26:00Z</dcterms:created>
  <dc:creator>王仲一</dc:creator>
  <cp:lastModifiedBy>张敏</cp:lastModifiedBy>
  <dcterms:modified xsi:type="dcterms:W3CDTF">2026-09-14T03:45:59Z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A73E134EFCD0481C98D04D9039DDC68E_13</vt:lpwstr>
  </property>
  <property fmtid="{D5CDD505-2E9C-101B-9397-08002B2CF9AE}" pid="4" name="KSOTemplateDocerSaveRecord">
    <vt:lpwstr>eyJoZGlkIjoiZDE0MGRlNDUyYzFmN2U0ZDNlMGIzNjY3YWFjMTQ5ZmUiLCJ1c2VySWQiOiIzNTQ4NjgyNzcifQ==</vt:lpwstr>
  </property>
</Properties>
</file>