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7488A">
      <w:pPr>
        <w:spacing w:before="140" w:line="218" w:lineRule="auto"/>
        <w:ind w:left="3191"/>
        <w:rPr>
          <w:rFonts w:ascii="宋体" w:hAnsi="宋体" w:eastAsia="宋体" w:cs="宋体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sz w:val="43"/>
          <w:szCs w:val="43"/>
          <w:lang w:val="en-US" w:eastAsia="zh-CN"/>
        </w:rPr>
        <w:t>需求</w:t>
      </w:r>
      <w:r>
        <w:rPr>
          <w:rFonts w:ascii="宋体" w:hAnsi="宋体" w:eastAsia="宋体" w:cs="宋体"/>
          <w:b/>
          <w:bCs/>
          <w:sz w:val="43"/>
          <w:szCs w:val="43"/>
        </w:rPr>
        <w:t>要素</w:t>
      </w:r>
    </w:p>
    <w:p w14:paraId="323FF44D">
      <w:pPr>
        <w:spacing w:line="310" w:lineRule="auto"/>
        <w:rPr>
          <w:rFonts w:ascii="Arial"/>
          <w:sz w:val="21"/>
        </w:rPr>
      </w:pPr>
    </w:p>
    <w:p w14:paraId="07C114F8">
      <w:pPr>
        <w:pStyle w:val="2"/>
        <w:spacing w:line="212" w:lineRule="auto"/>
        <w:ind w:left="739"/>
        <w:rPr>
          <w:rFonts w:hint="eastAsia" w:eastAsia="黑体"/>
          <w:b w:val="0"/>
          <w:bCs w:val="0"/>
          <w:lang w:val="en-US" w:eastAsia="zh-CN"/>
        </w:rPr>
      </w:pPr>
      <w:r>
        <w:rPr>
          <w:b/>
          <w:bCs/>
          <w:spacing w:val="7"/>
        </w:rPr>
        <w:t>一</w:t>
      </w:r>
      <w:r>
        <w:rPr>
          <w:spacing w:val="-34"/>
        </w:rPr>
        <w:t xml:space="preserve"> </w:t>
      </w:r>
      <w:r>
        <w:rPr>
          <w:b/>
          <w:bCs/>
          <w:spacing w:val="7"/>
        </w:rPr>
        <w:t>、</w:t>
      </w:r>
      <w:r>
        <w:rPr>
          <w:rFonts w:ascii="黑体" w:hAnsi="黑体" w:eastAsia="黑体" w:cs="黑体"/>
          <w:b/>
          <w:bCs/>
          <w:spacing w:val="7"/>
        </w:rPr>
        <w:t>项目名称</w:t>
      </w:r>
      <w:r>
        <w:rPr>
          <w:b/>
          <w:bCs/>
          <w:spacing w:val="7"/>
        </w:rPr>
        <w:t>：</w:t>
      </w:r>
      <w:r>
        <w:rPr>
          <w:rFonts w:hint="eastAsia" w:ascii="黑体" w:hAnsi="黑体" w:eastAsia="黑体" w:cs="黑体"/>
          <w:b w:val="0"/>
          <w:bCs w:val="0"/>
          <w:spacing w:val="7"/>
          <w:lang w:val="en-US" w:eastAsia="zh-CN"/>
        </w:rPr>
        <w:t>上网行为管理设备</w:t>
      </w:r>
    </w:p>
    <w:p w14:paraId="327562A4">
      <w:pPr>
        <w:spacing w:before="168" w:line="219" w:lineRule="auto"/>
        <w:ind w:left="73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二、采购需求</w:t>
      </w:r>
    </w:p>
    <w:p w14:paraId="5246FDCA">
      <w:pPr>
        <w:spacing w:line="31" w:lineRule="exact"/>
      </w:pPr>
    </w:p>
    <w:tbl>
      <w:tblPr>
        <w:tblStyle w:val="6"/>
        <w:tblW w:w="8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706"/>
        <w:gridCol w:w="5489"/>
      </w:tblGrid>
      <w:tr w14:paraId="64E40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84" w:type="dxa"/>
            <w:vAlign w:val="top"/>
          </w:tcPr>
          <w:p w14:paraId="642DB0A6">
            <w:pPr>
              <w:pStyle w:val="5"/>
              <w:spacing w:before="64" w:line="217" w:lineRule="auto"/>
              <w:ind w:left="109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2706" w:type="dxa"/>
            <w:vAlign w:val="top"/>
          </w:tcPr>
          <w:p w14:paraId="7E978CE9">
            <w:pPr>
              <w:pStyle w:val="5"/>
              <w:spacing w:before="60" w:line="218" w:lineRule="auto"/>
              <w:ind w:left="815"/>
            </w:pPr>
            <w:r>
              <w:rPr>
                <w:b/>
                <w:bCs/>
                <w:spacing w:val="-5"/>
              </w:rPr>
              <w:t>询价要素</w:t>
            </w:r>
          </w:p>
        </w:tc>
        <w:tc>
          <w:tcPr>
            <w:tcW w:w="5489" w:type="dxa"/>
            <w:vAlign w:val="top"/>
          </w:tcPr>
          <w:p w14:paraId="302AACA6">
            <w:pPr>
              <w:pStyle w:val="5"/>
              <w:spacing w:before="60" w:line="219" w:lineRule="auto"/>
              <w:ind w:left="519"/>
              <w:rPr>
                <w:rFonts w:hint="default" w:eastAsia="宋体"/>
                <w:b/>
                <w:bCs/>
                <w:spacing w:val="-5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lang w:val="en-US" w:eastAsia="zh-CN"/>
              </w:rPr>
              <w:t>采购需求</w:t>
            </w:r>
          </w:p>
        </w:tc>
      </w:tr>
      <w:tr w14:paraId="0DC78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784" w:type="dxa"/>
            <w:vAlign w:val="top"/>
          </w:tcPr>
          <w:p w14:paraId="5B216AC4">
            <w:pPr>
              <w:pStyle w:val="5"/>
              <w:spacing w:before="290" w:line="241" w:lineRule="auto"/>
              <w:ind w:left="314"/>
            </w:pPr>
            <w:r>
              <w:t>1</w:t>
            </w:r>
          </w:p>
        </w:tc>
        <w:tc>
          <w:tcPr>
            <w:tcW w:w="2706" w:type="dxa"/>
            <w:vAlign w:val="top"/>
          </w:tcPr>
          <w:p w14:paraId="359444B7">
            <w:pPr>
              <w:pStyle w:val="5"/>
              <w:spacing w:before="260" w:line="219" w:lineRule="auto"/>
              <w:ind w:left="110"/>
            </w:pPr>
            <w:r>
              <w:rPr>
                <w:spacing w:val="1"/>
              </w:rPr>
              <w:t>采购目标与用途</w:t>
            </w:r>
          </w:p>
        </w:tc>
        <w:tc>
          <w:tcPr>
            <w:tcW w:w="5489" w:type="dxa"/>
            <w:vAlign w:val="top"/>
          </w:tcPr>
          <w:p w14:paraId="2491A43C">
            <w:pPr>
              <w:pStyle w:val="5"/>
              <w:spacing w:before="31" w:line="249" w:lineRule="auto"/>
              <w:ind w:left="104" w:right="38"/>
              <w:rPr>
                <w:rFonts w:hint="eastAsia" w:eastAsia="宋体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根据</w:t>
            </w:r>
            <w:r>
              <w:rPr>
                <w:rFonts w:hint="eastAsia"/>
                <w:spacing w:val="1"/>
                <w:sz w:val="28"/>
                <w:szCs w:val="28"/>
              </w:rPr>
              <w:t>《网络安全法》及等保2.0相关要求，实现对进出网络数据流基于应用协议和应用内容的访问控制，对内部用户非授权联到外部网络的行为进行检查或限制，对用户访问互联网的行为进行行为审计和数据分析。设备需具备日志留存能力，满足不少于180天的日志存储要求，为事件追溯和合规报告提供数据支撑</w:t>
            </w: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,保障我院网络信息安全。</w:t>
            </w:r>
          </w:p>
        </w:tc>
      </w:tr>
      <w:tr w14:paraId="72AAD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84" w:type="dxa"/>
            <w:vAlign w:val="top"/>
          </w:tcPr>
          <w:p w14:paraId="27E700A4">
            <w:pPr>
              <w:pStyle w:val="5"/>
              <w:spacing w:before="93" w:line="195" w:lineRule="auto"/>
              <w:ind w:left="314"/>
            </w:pPr>
            <w:r>
              <w:t>2</w:t>
            </w:r>
          </w:p>
        </w:tc>
        <w:tc>
          <w:tcPr>
            <w:tcW w:w="2706" w:type="dxa"/>
            <w:vAlign w:val="top"/>
          </w:tcPr>
          <w:p w14:paraId="471434A4">
            <w:pPr>
              <w:pStyle w:val="5"/>
              <w:spacing w:before="64" w:line="214" w:lineRule="auto"/>
              <w:ind w:left="110"/>
            </w:pPr>
            <w:r>
              <w:rPr>
                <w:spacing w:val="1"/>
              </w:rPr>
              <w:t>标的物</w:t>
            </w:r>
          </w:p>
        </w:tc>
        <w:tc>
          <w:tcPr>
            <w:tcW w:w="5489" w:type="dxa"/>
            <w:vAlign w:val="top"/>
          </w:tcPr>
          <w:p w14:paraId="3A76009C">
            <w:pPr>
              <w:pStyle w:val="5"/>
              <w:spacing w:before="64" w:line="214" w:lineRule="auto"/>
              <w:ind w:left="84"/>
              <w:rPr>
                <w:rFonts w:hint="eastAsia" w:eastAsia="黑体"/>
                <w:spacing w:val="1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上网行为管理设备</w:t>
            </w:r>
          </w:p>
        </w:tc>
      </w:tr>
      <w:tr w14:paraId="7C3C0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784" w:type="dxa"/>
            <w:vAlign w:val="top"/>
          </w:tcPr>
          <w:p w14:paraId="5C905B51">
            <w:pPr>
              <w:pStyle w:val="5"/>
              <w:spacing w:before="293"/>
              <w:ind w:left="314"/>
            </w:pPr>
            <w:r>
              <w:t>3</w:t>
            </w:r>
          </w:p>
        </w:tc>
        <w:tc>
          <w:tcPr>
            <w:tcW w:w="2706" w:type="dxa"/>
            <w:vAlign w:val="top"/>
          </w:tcPr>
          <w:p w14:paraId="2D76A15F">
            <w:pPr>
              <w:pStyle w:val="5"/>
              <w:spacing w:before="266" w:line="219" w:lineRule="auto"/>
              <w:ind w:left="110"/>
            </w:pPr>
            <w:r>
              <w:rPr>
                <w:spacing w:val="1"/>
              </w:rPr>
              <w:t>功能性能</w:t>
            </w:r>
          </w:p>
        </w:tc>
        <w:tc>
          <w:tcPr>
            <w:tcW w:w="5489" w:type="dxa"/>
            <w:vAlign w:val="top"/>
          </w:tcPr>
          <w:p w14:paraId="5C418D98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设备功能：</w:t>
            </w:r>
          </w:p>
          <w:p w14:paraId="5BEDCD4A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流量管控：带宽保障/限制、连接数限制、多链路负载均衡。</w:t>
            </w:r>
          </w:p>
          <w:p w14:paraId="34F77CBF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default"/>
                <w:spacing w:val="1"/>
                <w:lang w:val="en-US" w:eastAsia="zh-CN"/>
              </w:rPr>
              <w:t>应用识别与URL过滤</w:t>
            </w:r>
            <w:r>
              <w:rPr>
                <w:rFonts w:hint="eastAsia"/>
                <w:spacing w:val="1"/>
                <w:lang w:val="en-US" w:eastAsia="zh-CN"/>
              </w:rPr>
              <w:t>：≥7300应用识别、≥2000万级URL库、SSL解密审计。</w:t>
            </w:r>
          </w:p>
          <w:p w14:paraId="33CE0D52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default"/>
                <w:spacing w:val="1"/>
                <w:lang w:val="en-US" w:eastAsia="zh-CN"/>
              </w:rPr>
              <w:t>网络行为合规审计</w:t>
            </w:r>
            <w:r>
              <w:rPr>
                <w:rFonts w:hint="eastAsia"/>
                <w:spacing w:val="1"/>
                <w:lang w:val="en-US" w:eastAsia="zh-CN"/>
              </w:rPr>
              <w:t>：HTTP/HTTPS/FTP/邮件外发审计、日志保存≥6个月。</w:t>
            </w:r>
          </w:p>
          <w:p w14:paraId="7226C565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default"/>
                <w:spacing w:val="1"/>
                <w:lang w:val="en-US" w:eastAsia="zh-CN"/>
              </w:rPr>
              <w:t>网络层安全防护</w:t>
            </w:r>
            <w:r>
              <w:rPr>
                <w:rFonts w:hint="eastAsia"/>
                <w:spacing w:val="1"/>
                <w:lang w:val="en-US" w:eastAsia="zh-CN"/>
              </w:rPr>
              <w:t>：状态防火墙、病毒过滤、IPS。</w:t>
            </w:r>
          </w:p>
          <w:p w14:paraId="54B80FBA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URL&amp;应用识别规则库升级：</w:t>
            </w:r>
            <w:r>
              <w:rPr>
                <w:rFonts w:hint="eastAsia"/>
                <w:spacing w:val="1"/>
                <w:lang w:val="en-US" w:eastAsia="zh-CN"/>
              </w:rPr>
              <w:t>≥3年</w:t>
            </w:r>
          </w:p>
          <w:p w14:paraId="7A22F6EA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未知威胁实时检测和杀毒订阅升级：≥3年</w:t>
            </w:r>
          </w:p>
          <w:p w14:paraId="464A81F8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安全代理与审计系统</w:t>
            </w: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升级</w:t>
            </w:r>
            <w:r>
              <w:rPr>
                <w:rFonts w:hint="eastAsia"/>
                <w:spacing w:val="1"/>
                <w:lang w:val="en-US" w:eastAsia="zh-CN"/>
              </w:rPr>
              <w:t>：≥3年</w:t>
            </w:r>
          </w:p>
          <w:p w14:paraId="313405AE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设备性能：</w:t>
            </w:r>
          </w:p>
          <w:p w14:paraId="140E2358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规格：标准机架式（1U或2U）</w:t>
            </w:r>
          </w:p>
          <w:p w14:paraId="0CAE241C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网络层吞吐量：≥3.6Gbps</w:t>
            </w:r>
          </w:p>
          <w:p w14:paraId="781DDB85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应用层吞吐量：≥450Mb</w:t>
            </w:r>
          </w:p>
          <w:p w14:paraId="7C0F03B6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带宽性能：≥300Mb</w:t>
            </w:r>
          </w:p>
          <w:p w14:paraId="52707265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IPSEC VPN加密性能（最高性能）≥100M。</w:t>
            </w:r>
          </w:p>
          <w:p w14:paraId="13D04BCB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支持用户数：≥500准入终端数</w:t>
            </w:r>
          </w:p>
          <w:p w14:paraId="7765D043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数据包转发率：≥45Kpps</w:t>
            </w:r>
          </w:p>
          <w:p w14:paraId="252F6A1A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每秒新建连接数：≥4000</w:t>
            </w:r>
          </w:p>
          <w:p w14:paraId="78BCD7DC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最大并发连接数：≥150000</w:t>
            </w:r>
          </w:p>
          <w:p w14:paraId="1D638F8C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内存：≥8G</w:t>
            </w:r>
          </w:p>
          <w:p w14:paraId="54AE9863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硬盘容量(SSD+HDD)：≥1T</w:t>
            </w:r>
          </w:p>
          <w:p w14:paraId="5C3001AD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千兆电口：≥6个</w:t>
            </w:r>
          </w:p>
          <w:p w14:paraId="0255710A">
            <w:pPr>
              <w:pStyle w:val="5"/>
              <w:spacing w:before="44" w:line="245" w:lineRule="auto"/>
              <w:ind w:left="104" w:firstLine="9"/>
              <w:rPr>
                <w:rFonts w:hint="default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千兆光口：≥4个</w:t>
            </w:r>
          </w:p>
          <w:p w14:paraId="3D9B6C80">
            <w:pPr>
              <w:pStyle w:val="5"/>
              <w:spacing w:before="44" w:line="245" w:lineRule="auto"/>
              <w:ind w:left="104" w:firstLine="9"/>
              <w:rPr>
                <w:rFonts w:hint="eastAsia"/>
                <w:spacing w:val="6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6"/>
                <w:sz w:val="28"/>
                <w:szCs w:val="28"/>
                <w:lang w:val="en-US" w:eastAsia="zh-CN"/>
              </w:rPr>
              <w:t>冗余电源：是</w:t>
            </w:r>
          </w:p>
        </w:tc>
      </w:tr>
      <w:tr w14:paraId="24474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784" w:type="dxa"/>
            <w:vAlign w:val="top"/>
          </w:tcPr>
          <w:p w14:paraId="23BBB127">
            <w:pPr>
              <w:pStyle w:val="5"/>
              <w:spacing w:before="96" w:line="193" w:lineRule="auto"/>
              <w:ind w:left="314"/>
            </w:pPr>
            <w:r>
              <w:t>4</w:t>
            </w:r>
          </w:p>
        </w:tc>
        <w:tc>
          <w:tcPr>
            <w:tcW w:w="2706" w:type="dxa"/>
            <w:vAlign w:val="top"/>
          </w:tcPr>
          <w:p w14:paraId="5B881771">
            <w:pPr>
              <w:pStyle w:val="5"/>
              <w:spacing w:before="67" w:line="212" w:lineRule="auto"/>
              <w:ind w:left="110"/>
            </w:pPr>
            <w:r>
              <w:rPr>
                <w:spacing w:val="2"/>
              </w:rPr>
              <w:t>数量</w:t>
            </w:r>
          </w:p>
        </w:tc>
        <w:tc>
          <w:tcPr>
            <w:tcW w:w="5489" w:type="dxa"/>
            <w:vAlign w:val="top"/>
          </w:tcPr>
          <w:p w14:paraId="01A46336">
            <w:pPr>
              <w:pStyle w:val="5"/>
              <w:spacing w:before="65" w:line="213" w:lineRule="auto"/>
              <w:ind w:left="104"/>
              <w:rPr>
                <w:rFonts w:hint="default" w:eastAsia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pacing w:val="2"/>
                <w:sz w:val="28"/>
                <w:szCs w:val="28"/>
                <w:lang w:val="en-US" w:eastAsia="zh-CN"/>
              </w:rPr>
              <w:t>1台</w:t>
            </w:r>
          </w:p>
        </w:tc>
      </w:tr>
      <w:tr w14:paraId="2C155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84" w:type="dxa"/>
            <w:vAlign w:val="top"/>
          </w:tcPr>
          <w:p w14:paraId="5F92EFB3">
            <w:pPr>
              <w:pStyle w:val="5"/>
              <w:spacing w:before="106" w:line="192" w:lineRule="auto"/>
              <w:ind w:left="314"/>
            </w:pPr>
            <w:r>
              <w:t>5</w:t>
            </w:r>
          </w:p>
        </w:tc>
        <w:tc>
          <w:tcPr>
            <w:tcW w:w="2706" w:type="dxa"/>
            <w:vAlign w:val="top"/>
          </w:tcPr>
          <w:p w14:paraId="7F85DB1E">
            <w:pPr>
              <w:pStyle w:val="5"/>
              <w:spacing w:before="79" w:line="210" w:lineRule="auto"/>
              <w:ind w:left="110"/>
            </w:pPr>
            <w:r>
              <w:rPr>
                <w:spacing w:val="3"/>
              </w:rPr>
              <w:t>商务要求</w:t>
            </w:r>
          </w:p>
        </w:tc>
        <w:tc>
          <w:tcPr>
            <w:tcW w:w="5489" w:type="dxa"/>
            <w:vAlign w:val="top"/>
          </w:tcPr>
          <w:p w14:paraId="75B06F74">
            <w:pPr>
              <w:pStyle w:val="5"/>
              <w:numPr>
                <w:ilvl w:val="0"/>
                <w:numId w:val="0"/>
              </w:numPr>
              <w:spacing w:before="79" w:line="210" w:lineRule="auto"/>
              <w:ind w:left="1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1.服务期限：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1.1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合同签订后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365日历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日内完成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，提供至少3年的免费原厂维保和软件升级服务。1.2服务期限内提供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7×24小时响应，故障时在规定时限内（2-4小时）远程支持或抵达现场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。</w:t>
            </w:r>
          </w:p>
          <w:p w14:paraId="56391D7F">
            <w:pPr>
              <w:pStyle w:val="5"/>
              <w:numPr>
                <w:ilvl w:val="0"/>
                <w:numId w:val="0"/>
              </w:numPr>
              <w:spacing w:before="79" w:line="210" w:lineRule="auto"/>
              <w:ind w:left="104" w:leftChars="0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2.付款方式：2.1合同签订后，甲方在收到方开具相应项目款增值税发票后10个工作日内，支付金额为合同总金额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40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%，2.2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设备安装完成并正式启用后，乙方发起验收申请，验收报告双方签字盖章生效后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，甲方在收到乙方开具相应项目款增值税发票后，10个工作日内支付剩余的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60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en-US" w:bidi="ar-SA"/>
              </w:rPr>
              <w:t>%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shd w:val="clear" w:fill="FFFFFF"/>
                <w:lang w:val="en-US" w:eastAsia="zh-CN" w:bidi="ar-SA"/>
              </w:rPr>
              <w:t>。</w:t>
            </w:r>
          </w:p>
          <w:p w14:paraId="737BF21B">
            <w:pPr>
              <w:pStyle w:val="5"/>
              <w:spacing w:before="79" w:line="210" w:lineRule="auto"/>
              <w:ind w:left="104"/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3.验收标准：</w:t>
            </w: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3.1提供有效的《网络关键设备和网络安全专用产品安全认证证书》或《网络安全专用产品安全检测证书》。3.2提供由具备CNAS或CMA标识的第三方检测机构出具的检测报告，且报告中的功能、性能参数需与投标文件一致。符合新版国标GB/T 20279-2024（或其前版GB/T 20279-2015）的要求。</w:t>
            </w:r>
          </w:p>
          <w:p w14:paraId="50DCF95A">
            <w:pPr>
              <w:pStyle w:val="5"/>
              <w:spacing w:before="79" w:line="210" w:lineRule="auto"/>
              <w:ind w:left="104"/>
              <w:rPr>
                <w:rFonts w:hint="default" w:cs="宋体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shd w:val="clear" w:color="auto" w:fill="FFFFFF"/>
                <w:lang w:val="en-US" w:eastAsia="zh-CN"/>
              </w:rPr>
              <w:t>3.3需移交全套技术文档，包括但不限于：设备部署拓扑图、详细的访问控制策略表、配置参数说明以及运维操作手册。</w:t>
            </w:r>
          </w:p>
        </w:tc>
      </w:tr>
      <w:tr w14:paraId="4EA6E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84" w:type="dxa"/>
            <w:vAlign w:val="top"/>
          </w:tcPr>
          <w:p w14:paraId="048C1998">
            <w:pPr>
              <w:pStyle w:val="5"/>
              <w:spacing w:before="98" w:line="188" w:lineRule="auto"/>
              <w:ind w:left="314"/>
            </w:pPr>
            <w:r>
              <w:t>6</w:t>
            </w:r>
          </w:p>
        </w:tc>
        <w:tc>
          <w:tcPr>
            <w:tcW w:w="2706" w:type="dxa"/>
            <w:vAlign w:val="top"/>
          </w:tcPr>
          <w:p w14:paraId="43A8C7D1">
            <w:pPr>
              <w:pStyle w:val="5"/>
              <w:spacing w:before="71" w:line="206" w:lineRule="auto"/>
              <w:ind w:left="110"/>
            </w:pPr>
            <w:r>
              <w:rPr>
                <w:spacing w:val="5"/>
              </w:rPr>
              <w:t>其他</w:t>
            </w:r>
          </w:p>
        </w:tc>
        <w:tc>
          <w:tcPr>
            <w:tcW w:w="5489" w:type="dxa"/>
            <w:vAlign w:val="top"/>
          </w:tcPr>
          <w:p w14:paraId="2A18D40B">
            <w:pPr>
              <w:pStyle w:val="5"/>
              <w:spacing w:before="71" w:line="206" w:lineRule="auto"/>
              <w:ind w:left="84"/>
              <w:rPr>
                <w:rFonts w:hint="eastAsia" w:eastAsia="宋体"/>
                <w:spacing w:val="1"/>
                <w:lang w:eastAsia="zh-CN"/>
              </w:rPr>
            </w:pPr>
          </w:p>
        </w:tc>
      </w:tr>
    </w:tbl>
    <w:p w14:paraId="7DBF01E0">
      <w:pPr>
        <w:spacing w:line="345" w:lineRule="auto"/>
        <w:rPr>
          <w:rFonts w:ascii="Arial"/>
          <w:sz w:val="21"/>
        </w:rPr>
      </w:pPr>
    </w:p>
    <w:p w14:paraId="659CF92F">
      <w:pPr>
        <w:pStyle w:val="2"/>
        <w:spacing w:before="98" w:line="222" w:lineRule="auto"/>
        <w:rPr>
          <w:spacing w:val="25"/>
        </w:rPr>
      </w:pPr>
    </w:p>
    <w:p w14:paraId="6B3DAC8C">
      <w:pPr>
        <w:pStyle w:val="2"/>
        <w:spacing w:before="98" w:line="222" w:lineRule="auto"/>
        <w:ind w:left="154"/>
        <w:rPr>
          <w:spacing w:val="25"/>
        </w:rPr>
      </w:pPr>
    </w:p>
    <w:p w14:paraId="3E1925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A531B"/>
    <w:rsid w:val="010827C0"/>
    <w:rsid w:val="02DC1B57"/>
    <w:rsid w:val="03086AA8"/>
    <w:rsid w:val="032A4C70"/>
    <w:rsid w:val="038A7E04"/>
    <w:rsid w:val="04770389"/>
    <w:rsid w:val="0648365F"/>
    <w:rsid w:val="06CB49BC"/>
    <w:rsid w:val="06CD24E2"/>
    <w:rsid w:val="07566E5F"/>
    <w:rsid w:val="08BE3AF5"/>
    <w:rsid w:val="0B36617C"/>
    <w:rsid w:val="0B5F1B77"/>
    <w:rsid w:val="0CF0194E"/>
    <w:rsid w:val="0D2905A8"/>
    <w:rsid w:val="0D5D5C42"/>
    <w:rsid w:val="0E464928"/>
    <w:rsid w:val="10C009C2"/>
    <w:rsid w:val="12744159"/>
    <w:rsid w:val="13294F44"/>
    <w:rsid w:val="14997EA7"/>
    <w:rsid w:val="157D50D3"/>
    <w:rsid w:val="169B6DCE"/>
    <w:rsid w:val="183D3240"/>
    <w:rsid w:val="19AD7F51"/>
    <w:rsid w:val="1B0B4F2F"/>
    <w:rsid w:val="1CE57F1E"/>
    <w:rsid w:val="1D104A7F"/>
    <w:rsid w:val="1D772D50"/>
    <w:rsid w:val="1EF503D0"/>
    <w:rsid w:val="20947775"/>
    <w:rsid w:val="24466FD8"/>
    <w:rsid w:val="27765674"/>
    <w:rsid w:val="28C72DDD"/>
    <w:rsid w:val="28F9286B"/>
    <w:rsid w:val="2973261D"/>
    <w:rsid w:val="2B5D17D7"/>
    <w:rsid w:val="2C33078A"/>
    <w:rsid w:val="2C7A3CC3"/>
    <w:rsid w:val="2CB65A03"/>
    <w:rsid w:val="30360848"/>
    <w:rsid w:val="31F462C5"/>
    <w:rsid w:val="3216623C"/>
    <w:rsid w:val="32CA6AE3"/>
    <w:rsid w:val="335A2AA0"/>
    <w:rsid w:val="33FFD353"/>
    <w:rsid w:val="3632560E"/>
    <w:rsid w:val="38F65019"/>
    <w:rsid w:val="3B4E3123"/>
    <w:rsid w:val="3CAF1767"/>
    <w:rsid w:val="3DE82A2B"/>
    <w:rsid w:val="3FA77A4C"/>
    <w:rsid w:val="447C0AC8"/>
    <w:rsid w:val="45EF1DDC"/>
    <w:rsid w:val="48B16866"/>
    <w:rsid w:val="4B2A63EC"/>
    <w:rsid w:val="4B8A1D1C"/>
    <w:rsid w:val="4CA46E0E"/>
    <w:rsid w:val="4CAE1A3B"/>
    <w:rsid w:val="4CCE78AE"/>
    <w:rsid w:val="4D2717ED"/>
    <w:rsid w:val="4D677E3B"/>
    <w:rsid w:val="4D7A7AAC"/>
    <w:rsid w:val="502142D2"/>
    <w:rsid w:val="50B05868"/>
    <w:rsid w:val="51D75590"/>
    <w:rsid w:val="51EE0B2B"/>
    <w:rsid w:val="52E2243E"/>
    <w:rsid w:val="560234DB"/>
    <w:rsid w:val="59401C6C"/>
    <w:rsid w:val="59DD395F"/>
    <w:rsid w:val="5A1B6236"/>
    <w:rsid w:val="5A707529"/>
    <w:rsid w:val="5C001B87"/>
    <w:rsid w:val="5E543AC4"/>
    <w:rsid w:val="5E894DF5"/>
    <w:rsid w:val="5FD70E51"/>
    <w:rsid w:val="603D5158"/>
    <w:rsid w:val="63BA531B"/>
    <w:rsid w:val="64DF4A2F"/>
    <w:rsid w:val="6C4258A4"/>
    <w:rsid w:val="7089584F"/>
    <w:rsid w:val="712978E8"/>
    <w:rsid w:val="71867FE1"/>
    <w:rsid w:val="71C11019"/>
    <w:rsid w:val="72627969"/>
    <w:rsid w:val="75120509"/>
    <w:rsid w:val="77CB0E43"/>
    <w:rsid w:val="79CE4C1B"/>
    <w:rsid w:val="7B36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918</Words>
  <Characters>1062</Characters>
  <Lines>0</Lines>
  <Paragraphs>0</Paragraphs>
  <TotalTime>13</TotalTime>
  <ScaleCrop>false</ScaleCrop>
  <LinksUpToDate>false</LinksUpToDate>
  <CharactersWithSpaces>1102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2026-07-21T11:26:00Z</dcterms:created>
  <dc:creator>王仲一</dc:creator>
  <cp:lastModifiedBy>张敏</cp:lastModifiedBy>
  <dcterms:modified xsi:type="dcterms:W3CDTF">2026-09-14T03:45:03Z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E4C16F6BAF81425B8D75313B4527B63C_13</vt:lpwstr>
  </property>
  <property fmtid="{D5CDD505-2E9C-101B-9397-08002B2CF9AE}" pid="4" name="KSOTemplateDocerSaveRecord">
    <vt:lpwstr>eyJoZGlkIjoiZDE0MGRlNDUyYzFmN2U0ZDNlMGIzNjY3YWFjMTQ5ZmUiLCJ1c2VySWQiOiIzNTQ4NjgyNzcifQ==</vt:lpwstr>
  </property>
</Properties>
</file>