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D83A2"/>
    <w:p w14:paraId="2DC2E848"/>
    <w:p w14:paraId="0ECC7510"/>
    <w:p w14:paraId="6CC78909"/>
    <w:p w14:paraId="4C17F248">
      <w:pPr>
        <w:rPr>
          <w:sz w:val="44"/>
          <w:szCs w:val="44"/>
        </w:rPr>
      </w:pPr>
    </w:p>
    <w:p w14:paraId="6D3F777B">
      <w:pPr>
        <w:jc w:val="center"/>
        <w:rPr>
          <w:rFonts w:hint="eastAsia" w:ascii="方正小标宋_GBK" w:hAnsi="Times New Roman" w:eastAsia="方正小标宋_GBK" w:cs="Times New Roman"/>
          <w:sz w:val="44"/>
          <w:szCs w:val="44"/>
          <w:lang w:eastAsia="zh-CN"/>
        </w:rPr>
      </w:pPr>
      <w:bookmarkStart w:id="0" w:name="_Toc15306268"/>
      <w:r>
        <w:rPr>
          <w:rFonts w:hint="eastAsia" w:ascii="方正小标宋_GBK" w:hAnsi="Times New Roman" w:eastAsia="方正小标宋_GBK" w:cs="Times New Roman"/>
          <w:sz w:val="44"/>
          <w:szCs w:val="44"/>
        </w:rPr>
        <w:t>成都市青羊区</w:t>
      </w:r>
      <w:r>
        <w:rPr>
          <w:rFonts w:hint="eastAsia" w:ascii="方正小标宋_GBK" w:hAnsi="Times New Roman" w:eastAsia="方正小标宋_GBK" w:cs="Times New Roman"/>
          <w:sz w:val="44"/>
          <w:szCs w:val="44"/>
          <w:lang w:eastAsia="zh-CN"/>
        </w:rPr>
        <w:t>成都儿童专科医院</w:t>
      </w:r>
    </w:p>
    <w:p w14:paraId="30C1079A">
      <w:pPr>
        <w:jc w:val="center"/>
        <w:rPr>
          <w:rFonts w:eastAsia="方正小标宋_GBK"/>
          <w:color w:val="000000"/>
          <w:sz w:val="48"/>
          <w:szCs w:val="48"/>
        </w:rPr>
      </w:pPr>
      <w:bookmarkStart w:id="62" w:name="_GoBack"/>
      <w:bookmarkEnd w:id="62"/>
      <w:r>
        <w:rPr>
          <w:rFonts w:hint="eastAsia" w:ascii="方正小标宋_GBK" w:hAnsi="Times New Roman" w:eastAsia="方正小标宋_GBK" w:cs="Times New Roman"/>
          <w:sz w:val="44"/>
          <w:szCs w:val="44"/>
          <w:lang w:val="en-US" w:eastAsia="zh-CN"/>
        </w:rPr>
        <w:t>2024年度</w:t>
      </w:r>
      <w:r>
        <w:rPr>
          <w:rFonts w:hint="eastAsia" w:ascii="方正小标宋_GBK" w:eastAsia="方正小标宋_GBK" w:cs="Times New Roman"/>
          <w:sz w:val="44"/>
          <w:szCs w:val="44"/>
          <w:lang w:eastAsia="zh-CN"/>
        </w:rPr>
        <w:t>部门</w:t>
      </w:r>
      <w:r>
        <w:rPr>
          <w:rFonts w:hint="eastAsia" w:ascii="方正小标宋_GBK" w:hAnsi="Times New Roman" w:eastAsia="方正小标宋_GBK" w:cs="Times New Roman"/>
          <w:sz w:val="44"/>
          <w:szCs w:val="44"/>
          <w:lang w:val="en-US" w:eastAsia="zh-CN"/>
        </w:rPr>
        <w:t>决算</w:t>
      </w:r>
      <w:bookmarkEnd w:id="0"/>
      <w:r>
        <w:rPr>
          <w:rFonts w:hint="eastAsia" w:ascii="方正小标宋_GBK" w:hAnsi="Times New Roman" w:eastAsia="方正小标宋_GBK" w:cs="Times New Roman"/>
          <w:sz w:val="44"/>
          <w:szCs w:val="44"/>
        </w:rPr>
        <w:br w:type="page"/>
      </w:r>
      <w:bookmarkStart w:id="1" w:name="_Toc15377196"/>
      <w:r>
        <w:rPr>
          <w:rFonts w:eastAsia="方正小标宋_GBK"/>
          <w:color w:val="000000"/>
          <w:sz w:val="48"/>
          <w:szCs w:val="48"/>
        </w:rPr>
        <w:t>目</w:t>
      </w:r>
      <w:r>
        <w:rPr>
          <w:rFonts w:hint="eastAsia" w:eastAsia="方正小标宋_GBK"/>
          <w:color w:val="000000"/>
          <w:sz w:val="48"/>
          <w:szCs w:val="48"/>
        </w:rPr>
        <w:t xml:space="preserve">  </w:t>
      </w:r>
      <w:r>
        <w:rPr>
          <w:rFonts w:eastAsia="方正小标宋_GBK"/>
          <w:color w:val="000000"/>
          <w:sz w:val="48"/>
          <w:szCs w:val="48"/>
        </w:rPr>
        <w:t>录</w:t>
      </w:r>
    </w:p>
    <w:p w14:paraId="508DFF1E">
      <w:pPr>
        <w:topLinePunct/>
        <w:snapToGrid w:val="0"/>
        <w:jc w:val="center"/>
        <w:rPr>
          <w:rFonts w:eastAsia="方正小标宋_GBK"/>
          <w:color w:val="000000"/>
          <w:sz w:val="48"/>
          <w:szCs w:val="48"/>
        </w:rPr>
      </w:pPr>
    </w:p>
    <w:p w14:paraId="4F50882E">
      <w:pPr>
        <w:pStyle w:val="14"/>
        <w:rPr>
          <w:rFonts w:asciiTheme="minorHAnsi" w:hAnsiTheme="minorHAnsi" w:eastAsiaTheme="minorEastAsia" w:cstheme="minorBidi"/>
          <w:color w:val="000000" w:themeColor="text1"/>
          <w:sz w:val="21"/>
          <w:szCs w:val="22"/>
        </w:rPr>
      </w:pPr>
      <w:r>
        <w:rPr>
          <w:rFonts w:eastAsia="方正黑体_GBK"/>
        </w:rPr>
        <w:fldChar w:fldCharType="begin"/>
      </w:r>
      <w:r>
        <w:instrText xml:space="preserve"> TOC \o "1-2" \h \z \u </w:instrText>
      </w:r>
      <w:r>
        <w:rPr>
          <w:rFonts w:eastAsia="方正黑体_GBK"/>
        </w:rPr>
        <w:fldChar w:fldCharType="separate"/>
      </w:r>
      <w:r>
        <w:fldChar w:fldCharType="begin"/>
      </w:r>
      <w:r>
        <w:instrText xml:space="preserve"> HYPERLINK \l "_Toc143699685" </w:instrText>
      </w:r>
      <w:r>
        <w:fldChar w:fldCharType="separate"/>
      </w:r>
      <w:r>
        <w:rPr>
          <w:rStyle w:val="24"/>
          <w:rFonts w:hint="eastAsia" w:ascii="方正黑体_GBK"/>
          <w:color w:val="000000" w:themeColor="text1"/>
        </w:rPr>
        <w:t>第一部分</w:t>
      </w:r>
      <w:r>
        <w:rPr>
          <w:rStyle w:val="24"/>
          <w:rFonts w:ascii="方正黑体_GBK"/>
          <w:color w:val="000000" w:themeColor="text1"/>
        </w:rPr>
        <w:t xml:space="preserve"> </w:t>
      </w:r>
      <w:r>
        <w:rPr>
          <w:rStyle w:val="24"/>
          <w:rFonts w:hint="eastAsia" w:ascii="方正黑体_GBK"/>
          <w:color w:val="000000" w:themeColor="text1"/>
        </w:rPr>
        <w:t>单位概况</w:t>
      </w:r>
      <w:r>
        <w:rPr>
          <w:color w:val="000000" w:themeColor="text1"/>
        </w:rPr>
        <w:tab/>
      </w:r>
      <w:r>
        <w:rPr>
          <w:rFonts w:hint="eastAsia" w:ascii="Times New Roman" w:hAnsi="Times New Roman" w:eastAsia="宋体" w:cs="Times New Roman"/>
          <w:bCs w:val="0"/>
          <w:color w:val="000000" w:themeColor="text1"/>
          <w:kern w:val="2"/>
          <w:sz w:val="21"/>
          <w:szCs w:val="21"/>
          <w:lang w:val="en-US" w:eastAsia="zh-CN" w:bidi="ar-SA"/>
        </w:rPr>
        <w:t>4</w:t>
      </w:r>
      <w:r>
        <w:rPr>
          <w:color w:val="000000" w:themeColor="text1"/>
        </w:rPr>
        <w:fldChar w:fldCharType="end"/>
      </w:r>
    </w:p>
    <w:p w14:paraId="46153A54">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"_Toc143699686" </w:instrText>
      </w:r>
      <w:r>
        <w:fldChar w:fldCharType="separate"/>
      </w:r>
      <w:r>
        <w:rPr>
          <w:rStyle w:val="24"/>
          <w:rFonts w:hint="eastAsia" w:eastAsia="方正黑体_GBK"/>
          <w:color w:val="000000" w:themeColor="text1"/>
        </w:rPr>
        <w:t>一、主要职责</w:t>
      </w:r>
      <w:r>
        <w:rPr>
          <w:color w:val="000000" w:themeColor="text1"/>
        </w:rPr>
        <w:tab/>
      </w:r>
      <w:r>
        <w:rPr>
          <w:rFonts w:hint="eastAsia" w:ascii="Times New Roman" w:hAnsi="Times New Roman" w:eastAsia="宋体" w:cs="Times New Roman"/>
          <w:bCs w:val="0"/>
          <w:color w:val="000000" w:themeColor="text1"/>
          <w:kern w:val="2"/>
          <w:sz w:val="21"/>
          <w:szCs w:val="21"/>
          <w:lang w:val="en-US" w:eastAsia="zh-CN" w:bidi="ar-SA"/>
        </w:rPr>
        <w:t>4</w:t>
      </w:r>
      <w:r>
        <w:rPr>
          <w:color w:val="000000" w:themeColor="text1"/>
        </w:rPr>
        <w:fldChar w:fldCharType="end"/>
      </w:r>
    </w:p>
    <w:p w14:paraId="2B3F6299">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"_Toc143699687" </w:instrText>
      </w:r>
      <w:r>
        <w:fldChar w:fldCharType="separate"/>
      </w:r>
      <w:r>
        <w:rPr>
          <w:rStyle w:val="24"/>
          <w:rFonts w:hint="eastAsia" w:eastAsia="方正黑体_GBK"/>
          <w:color w:val="000000" w:themeColor="text1"/>
        </w:rPr>
        <w:t>二、机构设置</w:t>
      </w:r>
      <w:r>
        <w:rPr>
          <w:color w:val="000000" w:themeColor="text1"/>
        </w:rPr>
        <w:tab/>
      </w:r>
      <w:r>
        <w:rPr>
          <w:color w:val="000000" w:themeColor="text1"/>
        </w:rPr>
        <w:fldChar w:fldCharType="begin"/>
      </w:r>
      <w:r>
        <w:rPr>
          <w:color w:val="000000" w:themeColor="text1"/>
        </w:rPr>
        <w:instrText xml:space="preserve"> PAGEREF _Toc143699687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14:paraId="0203AD59">
      <w:pPr>
        <w:pStyle w:val="14"/>
        <w:rPr>
          <w:rFonts w:asciiTheme="minorHAnsi" w:hAnsiTheme="minorHAnsi" w:eastAsiaTheme="minorEastAsia" w:cstheme="minorBidi"/>
          <w:color w:val="000000" w:themeColor="text1"/>
          <w:sz w:val="21"/>
          <w:szCs w:val="22"/>
        </w:rPr>
      </w:pPr>
      <w:r>
        <w:fldChar w:fldCharType="begin"/>
      </w:r>
      <w:r>
        <w:instrText xml:space="preserve"> HYPERLINK \l "_Toc143699688" </w:instrText>
      </w:r>
      <w:r>
        <w:fldChar w:fldCharType="separate"/>
      </w:r>
      <w:r>
        <w:rPr>
          <w:rStyle w:val="24"/>
          <w:rFonts w:hint="eastAsia"/>
          <w:color w:val="000000" w:themeColor="text1"/>
        </w:rPr>
        <w:t>第二部分</w:t>
      </w:r>
      <w:r>
        <w:rPr>
          <w:rStyle w:val="24"/>
          <w:color w:val="000000" w:themeColor="text1"/>
        </w:rPr>
        <w:t xml:space="preserve"> </w:t>
      </w:r>
      <w:r>
        <w:rPr>
          <w:rStyle w:val="24"/>
          <w:rFonts w:hint="eastAsia"/>
          <w:color w:val="000000" w:themeColor="text1"/>
        </w:rPr>
        <w:t>2024年度单位决算情况说明</w:t>
      </w:r>
      <w:r>
        <w:rPr>
          <w:color w:val="000000" w:themeColor="text1"/>
        </w:rPr>
        <w:tab/>
      </w:r>
      <w:r>
        <w:rPr>
          <w:rFonts w:hint="eastAsia" w:ascii="Times New Roman" w:hAnsi="Times New Roman" w:eastAsia="宋体" w:cs="Times New Roman"/>
          <w:bCs w:val="0"/>
          <w:color w:val="000000" w:themeColor="text1"/>
          <w:kern w:val="2"/>
          <w:sz w:val="21"/>
          <w:szCs w:val="21"/>
          <w:lang w:val="en-US" w:eastAsia="zh-CN" w:bidi="ar-SA"/>
        </w:rPr>
        <w:fldChar w:fldCharType="begin"/>
      </w:r>
      <w:r>
        <w:rPr>
          <w:rFonts w:hint="eastAsia" w:ascii="Times New Roman" w:hAnsi="Times New Roman" w:eastAsia="宋体" w:cs="Times New Roman"/>
          <w:bCs w:val="0"/>
          <w:color w:val="000000" w:themeColor="text1"/>
          <w:kern w:val="2"/>
          <w:sz w:val="21"/>
          <w:szCs w:val="21"/>
          <w:lang w:val="en-US" w:eastAsia="zh-CN" w:bidi="ar-SA"/>
        </w:rPr>
        <w:instrText xml:space="preserve"> PAGEREF _Toc143699688 \h </w:instrText>
      </w:r>
      <w:r>
        <w:rPr>
          <w:rFonts w:hint="eastAsia" w:ascii="Times New Roman" w:hAnsi="Times New Roman" w:eastAsia="宋体" w:cs="Times New Roman"/>
          <w:bCs w:val="0"/>
          <w:color w:val="000000" w:themeColor="text1"/>
          <w:kern w:val="2"/>
          <w:sz w:val="21"/>
          <w:szCs w:val="21"/>
          <w:lang w:val="en-US" w:eastAsia="zh-CN" w:bidi="ar-SA"/>
        </w:rPr>
        <w:fldChar w:fldCharType="separate"/>
      </w:r>
      <w:r>
        <w:rPr>
          <w:rFonts w:hint="eastAsia" w:ascii="Times New Roman" w:hAnsi="Times New Roman" w:eastAsia="宋体" w:cs="Times New Roman"/>
          <w:bCs w:val="0"/>
          <w:color w:val="000000" w:themeColor="text1"/>
          <w:kern w:val="2"/>
          <w:sz w:val="21"/>
          <w:szCs w:val="21"/>
          <w:lang w:val="en-US" w:eastAsia="zh-CN" w:bidi="ar-SA"/>
        </w:rPr>
        <w:t>6</w:t>
      </w:r>
      <w:r>
        <w:rPr>
          <w:rFonts w:hint="eastAsia" w:ascii="Times New Roman" w:hAnsi="Times New Roman" w:eastAsia="宋体" w:cs="Times New Roman"/>
          <w:bCs w:val="0"/>
          <w:color w:val="000000" w:themeColor="text1"/>
          <w:kern w:val="2"/>
          <w:sz w:val="21"/>
          <w:szCs w:val="21"/>
          <w:lang w:val="en-US" w:eastAsia="zh-CN" w:bidi="ar-SA"/>
        </w:rPr>
        <w:fldChar w:fldCharType="end"/>
      </w:r>
      <w:r>
        <w:rPr>
          <w:color w:val="000000" w:themeColor="text1"/>
        </w:rPr>
        <w:fldChar w:fldCharType="end"/>
      </w:r>
    </w:p>
    <w:p w14:paraId="7F2345EB">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"_Toc143699689" </w:instrText>
      </w:r>
      <w:r>
        <w:fldChar w:fldCharType="separate"/>
      </w:r>
      <w:r>
        <w:rPr>
          <w:rStyle w:val="24"/>
          <w:rFonts w:hint="eastAsia" w:eastAsia="方正黑体_GBK"/>
          <w:color w:val="000000" w:themeColor="text1"/>
        </w:rPr>
        <w:t>一、收入支出决算总体情况说明</w:t>
      </w:r>
      <w:r>
        <w:rPr>
          <w:color w:val="000000" w:themeColor="text1"/>
        </w:rPr>
        <w:tab/>
      </w:r>
      <w:r>
        <w:rPr>
          <w:rFonts w:hint="eastAsia"/>
          <w:color w:val="000000" w:themeColor="text1"/>
          <w:lang w:val="en-US" w:eastAsia="zh-CN"/>
        </w:rPr>
        <w:fldChar w:fldCharType="begin"/>
      </w:r>
      <w:r>
        <w:rPr>
          <w:rFonts w:hint="eastAsia"/>
          <w:color w:val="000000" w:themeColor="text1"/>
          <w:lang w:val="en-US" w:eastAsia="zh-CN"/>
        </w:rPr>
        <w:instrText xml:space="preserve"> PAGEREF _Toc143699689 \h </w:instrText>
      </w:r>
      <w:r>
        <w:rPr>
          <w:rFonts w:hint="eastAsia"/>
          <w:color w:val="000000" w:themeColor="text1"/>
          <w:lang w:val="en-US" w:eastAsia="zh-CN"/>
        </w:rPr>
        <w:fldChar w:fldCharType="separate"/>
      </w:r>
      <w:r>
        <w:rPr>
          <w:rFonts w:hint="eastAsia"/>
          <w:color w:val="000000" w:themeColor="text1"/>
          <w:lang w:val="en-US" w:eastAsia="zh-CN"/>
        </w:rPr>
        <w:t>7</w:t>
      </w:r>
      <w:r>
        <w:rPr>
          <w:rFonts w:hint="eastAsia"/>
          <w:color w:val="000000" w:themeColor="text1"/>
          <w:lang w:val="en-US" w:eastAsia="zh-CN"/>
        </w:rPr>
        <w:fldChar w:fldCharType="end"/>
      </w:r>
      <w:r>
        <w:rPr>
          <w:color w:val="000000" w:themeColor="text1"/>
        </w:rPr>
        <w:fldChar w:fldCharType="end"/>
      </w:r>
    </w:p>
    <w:p w14:paraId="66E3888A">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"_Toc143699690" </w:instrText>
      </w:r>
      <w:r>
        <w:fldChar w:fldCharType="separate"/>
      </w:r>
      <w:r>
        <w:rPr>
          <w:rStyle w:val="24"/>
          <w:rFonts w:hint="eastAsia" w:eastAsia="方正黑体_GBK"/>
          <w:color w:val="000000" w:themeColor="text1"/>
        </w:rPr>
        <w:t>二、收入决算情况说明</w:t>
      </w:r>
      <w:r>
        <w:rPr>
          <w:color w:val="000000" w:themeColor="text1"/>
        </w:rPr>
        <w:tab/>
      </w:r>
      <w:r>
        <w:rPr>
          <w:color w:val="000000" w:themeColor="text1"/>
        </w:rPr>
        <w:fldChar w:fldCharType="begin"/>
      </w:r>
      <w:r>
        <w:rPr>
          <w:color w:val="000000" w:themeColor="text1"/>
        </w:rPr>
        <w:instrText xml:space="preserve"> PAGEREF _Toc143699690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14:paraId="1F8FBDD3">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"_Toc143699691" </w:instrText>
      </w:r>
      <w:r>
        <w:fldChar w:fldCharType="separate"/>
      </w:r>
      <w:r>
        <w:rPr>
          <w:rStyle w:val="24"/>
          <w:rFonts w:hint="eastAsia" w:eastAsia="方正黑体_GBK"/>
          <w:color w:val="000000" w:themeColor="text1"/>
        </w:rPr>
        <w:t>三、支出决算情况说明</w:t>
      </w:r>
      <w:r>
        <w:rPr>
          <w:color w:val="000000" w:themeColor="text1"/>
        </w:rPr>
        <w:tab/>
      </w:r>
      <w:r>
        <w:rPr>
          <w:color w:val="000000" w:themeColor="text1"/>
        </w:rPr>
        <w:fldChar w:fldCharType="begin"/>
      </w:r>
      <w:r>
        <w:rPr>
          <w:color w:val="000000" w:themeColor="text1"/>
        </w:rPr>
        <w:instrText xml:space="preserve"> PAGEREF _Toc143699691 \h </w:instrText>
      </w:r>
      <w:r>
        <w:rPr>
          <w:color w:val="000000" w:themeColor="text1"/>
        </w:rPr>
        <w:fldChar w:fldCharType="separate"/>
      </w:r>
      <w:r>
        <w:rPr>
          <w:color w:val="000000" w:themeColor="text1"/>
        </w:rPr>
        <w:t>8</w:t>
      </w:r>
      <w:r>
        <w:rPr>
          <w:color w:val="000000" w:themeColor="text1"/>
        </w:rPr>
        <w:fldChar w:fldCharType="end"/>
      </w:r>
      <w:r>
        <w:rPr>
          <w:color w:val="000000" w:themeColor="text1"/>
        </w:rPr>
        <w:fldChar w:fldCharType="end"/>
      </w:r>
    </w:p>
    <w:p w14:paraId="6244ABCB">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"_Toc143699692" </w:instrText>
      </w:r>
      <w:r>
        <w:fldChar w:fldCharType="separate"/>
      </w:r>
      <w:r>
        <w:rPr>
          <w:rStyle w:val="24"/>
          <w:rFonts w:hint="eastAsia" w:ascii="方正黑体_GBK" w:eastAsia="方正黑体_GBK"/>
          <w:color w:val="000000" w:themeColor="text1"/>
        </w:rPr>
        <w:t>四、财政拨款收入支出决算总体情况说明</w:t>
      </w:r>
      <w:r>
        <w:rPr>
          <w:color w:val="000000" w:themeColor="text1"/>
        </w:rPr>
        <w:tab/>
      </w:r>
      <w:r>
        <w:rPr>
          <w:color w:val="000000" w:themeColor="text1"/>
        </w:rPr>
        <w:fldChar w:fldCharType="begin"/>
      </w:r>
      <w:r>
        <w:rPr>
          <w:color w:val="000000" w:themeColor="text1"/>
        </w:rPr>
        <w:instrText xml:space="preserve"> PAGEREF _Toc143699692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14:paraId="5FD4F0B2">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"_Toc143699693" </w:instrText>
      </w:r>
      <w:r>
        <w:fldChar w:fldCharType="separate"/>
      </w:r>
      <w:r>
        <w:rPr>
          <w:rStyle w:val="24"/>
          <w:rFonts w:hint="eastAsia" w:ascii="方正黑体_GBK" w:eastAsia="方正黑体_GBK"/>
          <w:color w:val="000000" w:themeColor="text1"/>
        </w:rPr>
        <w:t>五、一般公共预算财政拨款支出决算情况说明</w:t>
      </w:r>
      <w:r>
        <w:rPr>
          <w:color w:val="000000" w:themeColor="text1"/>
        </w:rPr>
        <w:tab/>
      </w:r>
      <w:r>
        <w:rPr>
          <w:color w:val="000000" w:themeColor="text1"/>
        </w:rPr>
        <w:fldChar w:fldCharType="begin"/>
      </w:r>
      <w:r>
        <w:rPr>
          <w:color w:val="000000" w:themeColor="text1"/>
        </w:rPr>
        <w:instrText xml:space="preserve"> PAGEREF _Toc143699693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14:paraId="657826EB">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"_Toc143699694" </w:instrText>
      </w:r>
      <w:r>
        <w:fldChar w:fldCharType="separate"/>
      </w:r>
      <w:r>
        <w:rPr>
          <w:rStyle w:val="24"/>
          <w:rFonts w:hint="eastAsia" w:ascii="方正黑体_GBK" w:eastAsia="方正黑体_GBK"/>
          <w:color w:val="000000" w:themeColor="text1"/>
        </w:rPr>
        <w:t>六、一般公共预算财政拨款基本支出决算情况说明</w:t>
      </w:r>
      <w:r>
        <w:rPr>
          <w:color w:val="000000" w:themeColor="text1"/>
        </w:rPr>
        <w:tab/>
      </w:r>
      <w:r>
        <w:rPr>
          <w:color w:val="000000" w:themeColor="text1"/>
        </w:rPr>
        <w:fldChar w:fldCharType="begin"/>
      </w:r>
      <w:r>
        <w:rPr>
          <w:color w:val="000000" w:themeColor="text1"/>
        </w:rPr>
        <w:instrText xml:space="preserve"> PAGEREF _Toc143699694 \h </w:instrText>
      </w:r>
      <w:r>
        <w:rPr>
          <w:color w:val="000000" w:themeColor="text1"/>
        </w:rPr>
        <w:fldChar w:fldCharType="separate"/>
      </w:r>
      <w:r>
        <w:rPr>
          <w:color w:val="000000" w:themeColor="text1"/>
        </w:rPr>
        <w:t>12</w:t>
      </w:r>
      <w:r>
        <w:rPr>
          <w:color w:val="000000" w:themeColor="text1"/>
        </w:rPr>
        <w:fldChar w:fldCharType="end"/>
      </w:r>
      <w:r>
        <w:rPr>
          <w:color w:val="000000" w:themeColor="text1"/>
        </w:rPr>
        <w:fldChar w:fldCharType="end"/>
      </w:r>
    </w:p>
    <w:p w14:paraId="4F0D059C">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"_Toc143699695" </w:instrText>
      </w:r>
      <w:r>
        <w:fldChar w:fldCharType="separate"/>
      </w:r>
      <w:r>
        <w:rPr>
          <w:rStyle w:val="24"/>
          <w:rFonts w:hint="eastAsia" w:ascii="方正黑体_GBK" w:eastAsia="方正黑体_GBK"/>
          <w:color w:val="000000" w:themeColor="text1"/>
        </w:rPr>
        <w:t>七、财政拨款</w:t>
      </w:r>
      <w:r>
        <w:rPr>
          <w:rStyle w:val="24"/>
          <w:rFonts w:ascii="方正黑体_GBK" w:eastAsia="方正黑体_GBK"/>
          <w:b/>
          <w:bCs/>
          <w:color w:val="000000" w:themeColor="text1"/>
        </w:rPr>
        <w:t>“</w:t>
      </w:r>
      <w:r>
        <w:rPr>
          <w:rStyle w:val="24"/>
          <w:rFonts w:hint="eastAsia" w:ascii="方正黑体_GBK" w:eastAsia="方正黑体_GBK"/>
          <w:color w:val="000000" w:themeColor="text1"/>
        </w:rPr>
        <w:t>三公</w:t>
      </w:r>
      <w:r>
        <w:rPr>
          <w:rStyle w:val="24"/>
          <w:rFonts w:ascii="方正黑体_GBK" w:eastAsia="方正黑体_GBK"/>
          <w:color w:val="000000" w:themeColor="text1"/>
        </w:rPr>
        <w:t>”</w:t>
      </w:r>
      <w:r>
        <w:rPr>
          <w:rStyle w:val="24"/>
          <w:rFonts w:hint="eastAsia" w:ascii="方正黑体_GBK" w:eastAsia="方正黑体_GBK"/>
          <w:color w:val="000000" w:themeColor="text1"/>
        </w:rPr>
        <w:t>经费支出决算情况说明</w:t>
      </w:r>
      <w:r>
        <w:rPr>
          <w:color w:val="000000" w:themeColor="text1"/>
        </w:rPr>
        <w:tab/>
      </w:r>
      <w:r>
        <w:rPr>
          <w:color w:val="000000" w:themeColor="text1"/>
        </w:rPr>
        <w:fldChar w:fldCharType="begin"/>
      </w:r>
      <w:r>
        <w:rPr>
          <w:color w:val="000000" w:themeColor="text1"/>
        </w:rPr>
        <w:instrText xml:space="preserve"> PAGEREF _Toc143699695 \h </w:instrText>
      </w:r>
      <w:r>
        <w:rPr>
          <w:color w:val="000000" w:themeColor="text1"/>
        </w:rPr>
        <w:fldChar w:fldCharType="separate"/>
      </w:r>
      <w:r>
        <w:rPr>
          <w:color w:val="000000" w:themeColor="text1"/>
        </w:rPr>
        <w:t>12</w:t>
      </w:r>
      <w:r>
        <w:rPr>
          <w:color w:val="000000" w:themeColor="text1"/>
        </w:rPr>
        <w:fldChar w:fldCharType="end"/>
      </w:r>
      <w:r>
        <w:rPr>
          <w:color w:val="000000" w:themeColor="text1"/>
        </w:rPr>
        <w:fldChar w:fldCharType="end"/>
      </w:r>
    </w:p>
    <w:p w14:paraId="471DA189">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"_Toc143699696" </w:instrText>
      </w:r>
      <w:r>
        <w:fldChar w:fldCharType="separate"/>
      </w:r>
      <w:r>
        <w:rPr>
          <w:rStyle w:val="24"/>
          <w:rFonts w:hint="eastAsia" w:ascii="方正黑体_GBK" w:eastAsia="方正黑体_GBK"/>
          <w:color w:val="000000" w:themeColor="text1"/>
        </w:rPr>
        <w:t>八、政府性基金预算支出决算情况说明</w:t>
      </w:r>
      <w:r>
        <w:rPr>
          <w:color w:val="000000" w:themeColor="text1"/>
        </w:rPr>
        <w:tab/>
      </w:r>
      <w:r>
        <w:rPr>
          <w:color w:val="000000" w:themeColor="text1"/>
        </w:rPr>
        <w:fldChar w:fldCharType="begin"/>
      </w:r>
      <w:r>
        <w:rPr>
          <w:color w:val="000000" w:themeColor="text1"/>
        </w:rPr>
        <w:instrText xml:space="preserve"> PAGEREF _Toc143699696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0E04359B">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"_Toc143699697" </w:instrText>
      </w:r>
      <w:r>
        <w:fldChar w:fldCharType="separate"/>
      </w:r>
      <w:r>
        <w:rPr>
          <w:rStyle w:val="24"/>
          <w:rFonts w:hint="eastAsia" w:ascii="方正黑体_GBK" w:eastAsia="方正黑体_GBK"/>
          <w:color w:val="000000" w:themeColor="text1"/>
        </w:rPr>
        <w:t>九、国有资本经营预算支出决算情况说明</w:t>
      </w:r>
      <w:r>
        <w:rPr>
          <w:color w:val="000000" w:themeColor="text1"/>
        </w:rPr>
        <w:tab/>
      </w:r>
      <w:r>
        <w:rPr>
          <w:color w:val="000000" w:themeColor="text1"/>
        </w:rPr>
        <w:fldChar w:fldCharType="begin"/>
      </w:r>
      <w:r>
        <w:rPr>
          <w:color w:val="000000" w:themeColor="text1"/>
        </w:rPr>
        <w:instrText xml:space="preserve"> PAGEREF _Toc143699697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7EFAA9D5">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"_Toc143699698" </w:instrText>
      </w:r>
      <w:r>
        <w:fldChar w:fldCharType="separate"/>
      </w:r>
      <w:r>
        <w:rPr>
          <w:rStyle w:val="24"/>
          <w:rFonts w:hint="eastAsia" w:ascii="方正黑体_GBK" w:eastAsia="方正黑体_GBK"/>
          <w:color w:val="000000" w:themeColor="text1"/>
        </w:rPr>
        <w:t>十、预算绩效管理情况说明</w:t>
      </w:r>
      <w:r>
        <w:rPr>
          <w:color w:val="000000" w:themeColor="text1"/>
        </w:rPr>
        <w:tab/>
      </w:r>
      <w:r>
        <w:rPr>
          <w:color w:val="000000" w:themeColor="text1"/>
        </w:rPr>
        <w:fldChar w:fldCharType="begin"/>
      </w:r>
      <w:r>
        <w:rPr>
          <w:color w:val="000000" w:themeColor="text1"/>
        </w:rPr>
        <w:instrText xml:space="preserve"> PAGEREF _Toc143699698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74541B09">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"_Toc143699699" </w:instrText>
      </w:r>
      <w:r>
        <w:fldChar w:fldCharType="separate"/>
      </w:r>
      <w:r>
        <w:rPr>
          <w:rStyle w:val="24"/>
          <w:rFonts w:hint="eastAsia" w:ascii="方正黑体_GBK" w:eastAsia="方正黑体_GBK"/>
          <w:color w:val="000000" w:themeColor="text1"/>
        </w:rPr>
        <w:t>十一</w:t>
      </w:r>
      <w:r>
        <w:rPr>
          <w:rStyle w:val="24"/>
          <w:rFonts w:hint="eastAsia" w:ascii="方正黑体_GBK" w:eastAsia="方正黑体_GBK"/>
          <w:b/>
          <w:bCs/>
          <w:color w:val="000000" w:themeColor="text1"/>
        </w:rPr>
        <w:t>、</w:t>
      </w:r>
      <w:r>
        <w:rPr>
          <w:rStyle w:val="24"/>
          <w:rFonts w:hint="eastAsia" w:ascii="方正黑体_GBK" w:eastAsia="方正黑体_GBK"/>
          <w:color w:val="000000" w:themeColor="text1"/>
        </w:rPr>
        <w:t>其他重要事项的情况说明</w:t>
      </w:r>
      <w:r>
        <w:rPr>
          <w:color w:val="000000" w:themeColor="text1"/>
        </w:rPr>
        <w:tab/>
      </w:r>
      <w:r>
        <w:rPr>
          <w:color w:val="000000" w:themeColor="text1"/>
        </w:rPr>
        <w:fldChar w:fldCharType="begin"/>
      </w:r>
      <w:r>
        <w:rPr>
          <w:color w:val="000000" w:themeColor="text1"/>
        </w:rPr>
        <w:instrText xml:space="preserve"> PAGEREF _Toc143699699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1CBA9B64">
      <w:pPr>
        <w:pStyle w:val="14"/>
        <w:rPr>
          <w:rFonts w:asciiTheme="minorHAnsi" w:hAnsiTheme="minorHAnsi" w:eastAsiaTheme="minorEastAsia" w:cstheme="minorBidi"/>
          <w:color w:val="000000" w:themeColor="text1"/>
          <w:sz w:val="21"/>
          <w:szCs w:val="22"/>
        </w:rPr>
      </w:pPr>
      <w:r>
        <w:fldChar w:fldCharType="begin"/>
      </w:r>
      <w:r>
        <w:instrText xml:space="preserve"> HYPERLINK \l "_Toc143699700" </w:instrText>
      </w:r>
      <w:r>
        <w:fldChar w:fldCharType="separate"/>
      </w:r>
      <w:r>
        <w:rPr>
          <w:rStyle w:val="24"/>
          <w:rFonts w:hint="eastAsia"/>
          <w:color w:val="000000" w:themeColor="text1"/>
        </w:rPr>
        <w:t>第三部分</w:t>
      </w:r>
      <w:r>
        <w:rPr>
          <w:rStyle w:val="24"/>
          <w:color w:val="000000" w:themeColor="text1"/>
        </w:rPr>
        <w:t xml:space="preserve"> </w:t>
      </w:r>
      <w:r>
        <w:rPr>
          <w:rStyle w:val="24"/>
          <w:rFonts w:hint="eastAsia"/>
          <w:color w:val="000000" w:themeColor="text1"/>
        </w:rPr>
        <w:t>名词解释</w:t>
      </w:r>
      <w:r>
        <w:rPr>
          <w:color w:val="000000" w:themeColor="text1"/>
        </w:rPr>
        <w:tab/>
      </w:r>
      <w:r>
        <w:rPr>
          <w:rFonts w:ascii="Times New Roman" w:hAnsi="Times New Roman" w:eastAsia="宋体" w:cs="Times New Roman"/>
          <w:bCs w:val="0"/>
          <w:color w:val="000000" w:themeColor="text1"/>
          <w:kern w:val="2"/>
          <w:sz w:val="21"/>
          <w:szCs w:val="21"/>
          <w:lang w:val="en-US" w:eastAsia="zh-CN" w:bidi="ar-SA"/>
        </w:rPr>
        <w:fldChar w:fldCharType="begin"/>
      </w:r>
      <w:r>
        <w:rPr>
          <w:rFonts w:ascii="Times New Roman" w:hAnsi="Times New Roman" w:eastAsia="宋体" w:cs="Times New Roman"/>
          <w:bCs w:val="0"/>
          <w:color w:val="000000" w:themeColor="text1"/>
          <w:kern w:val="2"/>
          <w:sz w:val="21"/>
          <w:szCs w:val="21"/>
          <w:lang w:val="en-US" w:eastAsia="zh-CN" w:bidi="ar-SA"/>
        </w:rPr>
        <w:instrText xml:space="preserve"> PAGEREF _Toc143699700 \h </w:instrText>
      </w:r>
      <w:r>
        <w:rPr>
          <w:rFonts w:ascii="Times New Roman" w:hAnsi="Times New Roman" w:eastAsia="宋体" w:cs="Times New Roman"/>
          <w:bCs w:val="0"/>
          <w:color w:val="000000" w:themeColor="text1"/>
          <w:kern w:val="2"/>
          <w:sz w:val="21"/>
          <w:szCs w:val="21"/>
          <w:lang w:val="en-US" w:eastAsia="zh-CN" w:bidi="ar-SA"/>
        </w:rPr>
        <w:fldChar w:fldCharType="separate"/>
      </w:r>
      <w:r>
        <w:rPr>
          <w:rFonts w:ascii="Times New Roman" w:hAnsi="Times New Roman" w:eastAsia="宋体" w:cs="Times New Roman"/>
          <w:bCs w:val="0"/>
          <w:color w:val="000000" w:themeColor="text1"/>
          <w:kern w:val="2"/>
          <w:sz w:val="21"/>
          <w:szCs w:val="21"/>
          <w:lang w:val="en-US" w:eastAsia="zh-CN" w:bidi="ar-SA"/>
        </w:rPr>
        <w:t>15</w:t>
      </w:r>
      <w:r>
        <w:rPr>
          <w:rFonts w:ascii="Times New Roman" w:hAnsi="Times New Roman" w:eastAsia="宋体" w:cs="Times New Roman"/>
          <w:bCs w:val="0"/>
          <w:color w:val="000000" w:themeColor="text1"/>
          <w:kern w:val="2"/>
          <w:sz w:val="21"/>
          <w:szCs w:val="21"/>
          <w:lang w:val="en-US" w:eastAsia="zh-CN" w:bidi="ar-SA"/>
        </w:rPr>
        <w:fldChar w:fldCharType="end"/>
      </w:r>
      <w:r>
        <w:rPr>
          <w:color w:val="000000" w:themeColor="text1"/>
        </w:rPr>
        <w:fldChar w:fldCharType="end"/>
      </w:r>
    </w:p>
    <w:p w14:paraId="4290F988">
      <w:pPr>
        <w:pStyle w:val="14"/>
        <w:rPr>
          <w:rFonts w:asciiTheme="minorHAnsi" w:hAnsiTheme="minorHAnsi" w:eastAsiaTheme="minorEastAsia" w:cstheme="minorBidi"/>
          <w:color w:val="000000" w:themeColor="text1"/>
          <w:sz w:val="21"/>
          <w:szCs w:val="22"/>
        </w:rPr>
      </w:pPr>
      <w:r>
        <w:fldChar w:fldCharType="begin"/>
      </w:r>
      <w:r>
        <w:instrText xml:space="preserve"> HYPERLINK \l "_Toc143699701" </w:instrText>
      </w:r>
      <w:r>
        <w:fldChar w:fldCharType="separate"/>
      </w:r>
      <w:r>
        <w:rPr>
          <w:rStyle w:val="24"/>
          <w:rFonts w:hint="eastAsia" w:ascii="方正黑体_GBK"/>
          <w:color w:val="000000" w:themeColor="text1"/>
        </w:rPr>
        <w:t>第</w:t>
      </w:r>
      <w:r>
        <w:rPr>
          <w:rStyle w:val="24"/>
          <w:rFonts w:hint="eastAsia" w:ascii="方正黑体_GBK"/>
          <w:color w:val="000000" w:themeColor="text1"/>
          <w:kern w:val="44"/>
        </w:rPr>
        <w:t>四部分</w:t>
      </w:r>
      <w:r>
        <w:rPr>
          <w:rStyle w:val="24"/>
          <w:rFonts w:ascii="方正黑体_GBK"/>
          <w:color w:val="000000" w:themeColor="text1"/>
          <w:kern w:val="44"/>
        </w:rPr>
        <w:t xml:space="preserve"> </w:t>
      </w:r>
      <w:r>
        <w:rPr>
          <w:rStyle w:val="24"/>
          <w:rFonts w:hint="eastAsia" w:ascii="方正黑体_GBK"/>
          <w:color w:val="000000" w:themeColor="text1"/>
          <w:kern w:val="44"/>
        </w:rPr>
        <w:t>附</w:t>
      </w:r>
      <w:r>
        <w:rPr>
          <w:rStyle w:val="24"/>
          <w:rFonts w:ascii="方正黑体_GBK"/>
          <w:color w:val="000000" w:themeColor="text1"/>
          <w:kern w:val="44"/>
        </w:rPr>
        <w:t xml:space="preserve">  </w:t>
      </w:r>
      <w:r>
        <w:rPr>
          <w:rStyle w:val="24"/>
          <w:rFonts w:hint="eastAsia" w:ascii="方正黑体_GBK"/>
          <w:color w:val="000000" w:themeColor="text1"/>
          <w:kern w:val="44"/>
        </w:rPr>
        <w:t>件</w:t>
      </w:r>
      <w:r>
        <w:rPr>
          <w:color w:val="000000" w:themeColor="text1"/>
        </w:rPr>
        <w:tab/>
      </w:r>
      <w:r>
        <w:rPr>
          <w:rFonts w:ascii="Times New Roman" w:hAnsi="Times New Roman" w:eastAsia="宋体" w:cs="Times New Roman"/>
          <w:bCs w:val="0"/>
          <w:color w:val="000000" w:themeColor="text1"/>
          <w:kern w:val="2"/>
          <w:sz w:val="21"/>
          <w:szCs w:val="21"/>
          <w:lang w:val="en-US" w:eastAsia="zh-CN" w:bidi="ar-SA"/>
        </w:rPr>
        <w:fldChar w:fldCharType="begin"/>
      </w:r>
      <w:r>
        <w:rPr>
          <w:rFonts w:ascii="Times New Roman" w:hAnsi="Times New Roman" w:eastAsia="宋体" w:cs="Times New Roman"/>
          <w:bCs w:val="0"/>
          <w:color w:val="000000" w:themeColor="text1"/>
          <w:kern w:val="2"/>
          <w:sz w:val="21"/>
          <w:szCs w:val="21"/>
          <w:lang w:val="en-US" w:eastAsia="zh-CN" w:bidi="ar-SA"/>
        </w:rPr>
        <w:instrText xml:space="preserve"> PAGEREF _Toc143699701 \h </w:instrText>
      </w:r>
      <w:r>
        <w:rPr>
          <w:rFonts w:ascii="Times New Roman" w:hAnsi="Times New Roman" w:eastAsia="宋体" w:cs="Times New Roman"/>
          <w:bCs w:val="0"/>
          <w:color w:val="000000" w:themeColor="text1"/>
          <w:kern w:val="2"/>
          <w:sz w:val="21"/>
          <w:szCs w:val="21"/>
          <w:lang w:val="en-US" w:eastAsia="zh-CN" w:bidi="ar-SA"/>
        </w:rPr>
        <w:fldChar w:fldCharType="separate"/>
      </w:r>
      <w:r>
        <w:rPr>
          <w:rFonts w:ascii="Times New Roman" w:hAnsi="Times New Roman" w:eastAsia="宋体" w:cs="Times New Roman"/>
          <w:bCs w:val="0"/>
          <w:color w:val="000000" w:themeColor="text1"/>
          <w:kern w:val="2"/>
          <w:sz w:val="21"/>
          <w:szCs w:val="21"/>
          <w:lang w:val="en-US" w:eastAsia="zh-CN" w:bidi="ar-SA"/>
        </w:rPr>
        <w:t>19</w:t>
      </w:r>
      <w:r>
        <w:rPr>
          <w:rFonts w:ascii="Times New Roman" w:hAnsi="Times New Roman" w:eastAsia="宋体" w:cs="Times New Roman"/>
          <w:bCs w:val="0"/>
          <w:color w:val="000000" w:themeColor="text1"/>
          <w:kern w:val="2"/>
          <w:sz w:val="21"/>
          <w:szCs w:val="21"/>
          <w:lang w:val="en-US" w:eastAsia="zh-CN" w:bidi="ar-SA"/>
        </w:rPr>
        <w:fldChar w:fldCharType="end"/>
      </w:r>
      <w:r>
        <w:rPr>
          <w:color w:val="000000" w:themeColor="text1"/>
        </w:rPr>
        <w:fldChar w:fldCharType="end"/>
      </w:r>
    </w:p>
    <w:p w14:paraId="42E35D33">
      <w:pPr>
        <w:pStyle w:val="14"/>
        <w:rPr>
          <w:rFonts w:asciiTheme="minorHAnsi" w:hAnsiTheme="minorHAnsi" w:eastAsiaTheme="minorEastAsia" w:cstheme="minorBidi"/>
          <w:color w:val="000000" w:themeColor="text1"/>
          <w:sz w:val="21"/>
          <w:szCs w:val="22"/>
        </w:rPr>
      </w:pPr>
      <w:r>
        <w:fldChar w:fldCharType="begin"/>
      </w:r>
      <w:r>
        <w:instrText xml:space="preserve"> HYPERLINK \l "_Toc143699702" </w:instrText>
      </w:r>
      <w:r>
        <w:fldChar w:fldCharType="separate"/>
      </w:r>
      <w:r>
        <w:rPr>
          <w:rStyle w:val="24"/>
          <w:rFonts w:hint="eastAsia" w:ascii="方正黑体_GBK"/>
          <w:color w:val="000000" w:themeColor="text1"/>
        </w:rPr>
        <w:t>第</w:t>
      </w:r>
      <w:r>
        <w:rPr>
          <w:rStyle w:val="24"/>
          <w:rFonts w:hint="eastAsia" w:ascii="方正黑体_GBK"/>
          <w:color w:val="000000" w:themeColor="text1"/>
          <w:kern w:val="44"/>
        </w:rPr>
        <w:t>五部分</w:t>
      </w:r>
      <w:r>
        <w:rPr>
          <w:rStyle w:val="24"/>
          <w:rFonts w:ascii="方正黑体_GBK"/>
          <w:color w:val="000000" w:themeColor="text1"/>
          <w:kern w:val="44"/>
        </w:rPr>
        <w:t xml:space="preserve"> </w:t>
      </w:r>
      <w:r>
        <w:rPr>
          <w:rStyle w:val="24"/>
          <w:rFonts w:hint="eastAsia" w:ascii="方正黑体_GBK"/>
          <w:color w:val="000000" w:themeColor="text1"/>
          <w:kern w:val="44"/>
        </w:rPr>
        <w:t>附</w:t>
      </w:r>
      <w:r>
        <w:rPr>
          <w:rStyle w:val="24"/>
          <w:rFonts w:ascii="方正黑体_GBK"/>
          <w:color w:val="000000" w:themeColor="text1"/>
          <w:kern w:val="44"/>
        </w:rPr>
        <w:t xml:space="preserve">  </w:t>
      </w:r>
      <w:r>
        <w:rPr>
          <w:rStyle w:val="24"/>
          <w:rFonts w:hint="eastAsia" w:ascii="方正黑体_GBK"/>
          <w:color w:val="000000" w:themeColor="text1"/>
          <w:kern w:val="44"/>
        </w:rPr>
        <w:t>表</w:t>
      </w:r>
      <w:r>
        <w:rPr>
          <w:color w:val="000000" w:themeColor="text1"/>
        </w:rPr>
        <w:tab/>
      </w:r>
      <w:r>
        <w:rPr>
          <w:rFonts w:ascii="Times New Roman" w:hAnsi="Times New Roman" w:eastAsia="宋体" w:cs="Times New Roman"/>
          <w:bCs w:val="0"/>
          <w:color w:val="000000" w:themeColor="text1"/>
          <w:kern w:val="2"/>
          <w:sz w:val="21"/>
          <w:szCs w:val="21"/>
          <w:lang w:val="en-US" w:eastAsia="zh-CN" w:bidi="ar-SA"/>
        </w:rPr>
        <w:fldChar w:fldCharType="begin"/>
      </w:r>
      <w:r>
        <w:rPr>
          <w:rFonts w:ascii="Times New Roman" w:hAnsi="Times New Roman" w:eastAsia="宋体" w:cs="Times New Roman"/>
          <w:bCs w:val="0"/>
          <w:color w:val="000000" w:themeColor="text1"/>
          <w:kern w:val="2"/>
          <w:sz w:val="21"/>
          <w:szCs w:val="21"/>
          <w:lang w:val="en-US" w:eastAsia="zh-CN" w:bidi="ar-SA"/>
        </w:rPr>
        <w:instrText xml:space="preserve"> PAGEREF _Toc143699702 \h </w:instrText>
      </w:r>
      <w:r>
        <w:rPr>
          <w:rFonts w:ascii="Times New Roman" w:hAnsi="Times New Roman" w:eastAsia="宋体" w:cs="Times New Roman"/>
          <w:bCs w:val="0"/>
          <w:color w:val="000000" w:themeColor="text1"/>
          <w:kern w:val="2"/>
          <w:sz w:val="21"/>
          <w:szCs w:val="21"/>
          <w:lang w:val="en-US" w:eastAsia="zh-CN" w:bidi="ar-SA"/>
        </w:rPr>
        <w:fldChar w:fldCharType="separate"/>
      </w:r>
      <w:r>
        <w:rPr>
          <w:rFonts w:ascii="Times New Roman" w:hAnsi="Times New Roman" w:eastAsia="宋体" w:cs="Times New Roman"/>
          <w:bCs w:val="0"/>
          <w:color w:val="000000" w:themeColor="text1"/>
          <w:kern w:val="2"/>
          <w:sz w:val="21"/>
          <w:szCs w:val="21"/>
          <w:lang w:val="en-US" w:eastAsia="zh-CN" w:bidi="ar-SA"/>
        </w:rPr>
        <w:t>36</w:t>
      </w:r>
      <w:r>
        <w:rPr>
          <w:rFonts w:ascii="Times New Roman" w:hAnsi="Times New Roman" w:eastAsia="宋体" w:cs="Times New Roman"/>
          <w:bCs w:val="0"/>
          <w:color w:val="000000" w:themeColor="text1"/>
          <w:kern w:val="2"/>
          <w:sz w:val="21"/>
          <w:szCs w:val="21"/>
          <w:lang w:val="en-US" w:eastAsia="zh-CN" w:bidi="ar-SA"/>
        </w:rPr>
        <w:fldChar w:fldCharType="end"/>
      </w:r>
      <w:r>
        <w:rPr>
          <w:color w:val="000000" w:themeColor="text1"/>
        </w:rPr>
        <w:fldChar w:fldCharType="end"/>
      </w:r>
    </w:p>
    <w:p w14:paraId="20D3AF3B">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"_Toc143699703" </w:instrText>
      </w:r>
      <w:r>
        <w:fldChar w:fldCharType="separate"/>
      </w:r>
      <w:r>
        <w:rPr>
          <w:rStyle w:val="24"/>
          <w:rFonts w:hint="eastAsia" w:eastAsia="方正仿宋_GBK"/>
          <w:color w:val="000000" w:themeColor="text1"/>
        </w:rPr>
        <w:t>一、收入支出决算总表</w:t>
      </w:r>
      <w:r>
        <w:rPr>
          <w:rStyle w:val="24"/>
          <w:rFonts w:hint="eastAsia" w:eastAsia="方正仿宋_GBK"/>
          <w:color w:val="000000" w:themeColor="text1"/>
        </w:rPr>
        <w:fldChar w:fldCharType="end"/>
      </w:r>
    </w:p>
    <w:p w14:paraId="748907D0">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"_Toc143699704" </w:instrText>
      </w:r>
      <w:r>
        <w:fldChar w:fldCharType="separate"/>
      </w:r>
      <w:r>
        <w:rPr>
          <w:rStyle w:val="24"/>
          <w:rFonts w:hint="eastAsia" w:eastAsia="方正仿宋_GBK"/>
          <w:color w:val="000000" w:themeColor="text1"/>
        </w:rPr>
        <w:t>二、收入决算表</w:t>
      </w:r>
      <w:r>
        <w:rPr>
          <w:rStyle w:val="24"/>
          <w:rFonts w:hint="eastAsia" w:eastAsia="方正仿宋_GBK"/>
          <w:color w:val="000000" w:themeColor="text1"/>
        </w:rPr>
        <w:fldChar w:fldCharType="end"/>
      </w:r>
    </w:p>
    <w:p w14:paraId="66BF442B">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"_Toc143699705" </w:instrText>
      </w:r>
      <w:r>
        <w:fldChar w:fldCharType="separate"/>
      </w:r>
      <w:r>
        <w:rPr>
          <w:rStyle w:val="24"/>
          <w:rFonts w:hint="eastAsia" w:eastAsia="方正仿宋_GBK"/>
          <w:color w:val="000000" w:themeColor="text1"/>
        </w:rPr>
        <w:t>三、支出决算表</w:t>
      </w:r>
      <w:r>
        <w:rPr>
          <w:rStyle w:val="24"/>
          <w:rFonts w:hint="eastAsia" w:eastAsia="方正仿宋_GBK"/>
          <w:color w:val="000000" w:themeColor="text1"/>
        </w:rPr>
        <w:fldChar w:fldCharType="end"/>
      </w:r>
    </w:p>
    <w:p w14:paraId="0D113D88">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"_Toc143699706" </w:instrText>
      </w:r>
      <w:r>
        <w:fldChar w:fldCharType="separate"/>
      </w:r>
      <w:r>
        <w:rPr>
          <w:rStyle w:val="24"/>
          <w:rFonts w:hint="eastAsia" w:eastAsia="方正仿宋_GBK"/>
          <w:color w:val="000000" w:themeColor="text1"/>
        </w:rPr>
        <w:t>四、财政拨款收入支出决算总表</w:t>
      </w:r>
      <w:r>
        <w:rPr>
          <w:rStyle w:val="24"/>
          <w:rFonts w:hint="eastAsia" w:eastAsia="方正仿宋_GBK"/>
          <w:color w:val="000000" w:themeColor="text1"/>
        </w:rPr>
        <w:fldChar w:fldCharType="end"/>
      </w:r>
    </w:p>
    <w:p w14:paraId="36E95350">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"_Toc143699707" </w:instrText>
      </w:r>
      <w:r>
        <w:fldChar w:fldCharType="separate"/>
      </w:r>
      <w:r>
        <w:rPr>
          <w:rStyle w:val="24"/>
          <w:rFonts w:hint="eastAsia" w:eastAsia="方正仿宋_GBK"/>
          <w:color w:val="000000" w:themeColor="text1"/>
        </w:rPr>
        <w:t>五、财政拨款支出决算明细表</w:t>
      </w:r>
      <w:r>
        <w:rPr>
          <w:rStyle w:val="24"/>
          <w:rFonts w:hint="eastAsia" w:eastAsia="方正仿宋_GBK"/>
          <w:color w:val="000000" w:themeColor="text1"/>
        </w:rPr>
        <w:fldChar w:fldCharType="end"/>
      </w:r>
    </w:p>
    <w:p w14:paraId="6B8AB7DD">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"_Toc143699708" </w:instrText>
      </w:r>
      <w:r>
        <w:fldChar w:fldCharType="separate"/>
      </w:r>
      <w:r>
        <w:rPr>
          <w:rStyle w:val="24"/>
          <w:rFonts w:hint="eastAsia" w:eastAsia="方正仿宋_GBK"/>
          <w:color w:val="000000" w:themeColor="text1"/>
        </w:rPr>
        <w:t>六、一般公共预算财政拨款支出决算表</w:t>
      </w:r>
      <w:r>
        <w:rPr>
          <w:rStyle w:val="24"/>
          <w:rFonts w:hint="eastAsia" w:eastAsia="方正仿宋_GBK"/>
          <w:color w:val="000000" w:themeColor="text1"/>
        </w:rPr>
        <w:fldChar w:fldCharType="end"/>
      </w:r>
    </w:p>
    <w:p w14:paraId="718BB698">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"_Toc143699709" </w:instrText>
      </w:r>
      <w:r>
        <w:fldChar w:fldCharType="separate"/>
      </w:r>
      <w:r>
        <w:rPr>
          <w:rStyle w:val="24"/>
          <w:rFonts w:hint="eastAsia" w:eastAsia="方正仿宋_GBK"/>
          <w:color w:val="000000" w:themeColor="text1"/>
        </w:rPr>
        <w:t>七、一般公共预算财政拨款支出决算明细表</w:t>
      </w:r>
      <w:r>
        <w:rPr>
          <w:rStyle w:val="24"/>
          <w:rFonts w:hint="eastAsia" w:eastAsia="方正仿宋_GBK"/>
          <w:color w:val="000000" w:themeColor="text1"/>
        </w:rPr>
        <w:fldChar w:fldCharType="end"/>
      </w:r>
    </w:p>
    <w:p w14:paraId="06684A08">
      <w:pPr>
        <w:pStyle w:val="16"/>
        <w:ind w:left="632"/>
        <w:jc w:val="left"/>
        <w:rPr>
          <w:rFonts w:asciiTheme="minorHAnsi" w:hAnsiTheme="minorHAnsi" w:eastAsiaTheme="minorEastAsia" w:cstheme="minorBidi"/>
          <w:color w:val="000000" w:themeColor="text1"/>
          <w:szCs w:val="22"/>
        </w:rPr>
      </w:pPr>
      <w:r>
        <w:fldChar w:fldCharType="begin"/>
      </w:r>
      <w:r>
        <w:instrText xml:space="preserve"> HYPERLINK \l "_Toc143699710" </w:instrText>
      </w:r>
      <w:r>
        <w:fldChar w:fldCharType="separate"/>
      </w:r>
      <w:r>
        <w:rPr>
          <w:rStyle w:val="24"/>
          <w:rFonts w:hint="eastAsia" w:eastAsia="方正仿宋_GBK"/>
          <w:color w:val="000000" w:themeColor="text1"/>
        </w:rPr>
        <w:t>八、一般公共预算财政拨款基本支出决算明细表</w:t>
      </w:r>
      <w:r>
        <w:rPr>
          <w:rStyle w:val="24"/>
          <w:rFonts w:hint="eastAsia" w:eastAsia="方正仿宋_GBK"/>
          <w:color w:val="000000" w:themeColor="text1"/>
        </w:rPr>
        <w:fldChar w:fldCharType="end"/>
      </w:r>
    </w:p>
    <w:p w14:paraId="36C96976">
      <w:pPr>
        <w:pStyle w:val="16"/>
        <w:ind w:left="632"/>
        <w:jc w:val="left"/>
        <w:rPr>
          <w:rFonts w:ascii="方正仿宋_GBK" w:eastAsia="方正仿宋_GBK" w:hAnsiTheme="minorHAnsi" w:cstheme="minorBidi"/>
          <w:color w:val="000000" w:themeColor="text1"/>
          <w:szCs w:val="22"/>
        </w:rPr>
      </w:pPr>
      <w:r>
        <w:fldChar w:fldCharType="begin"/>
      </w:r>
      <w:r>
        <w:instrText xml:space="preserve"> HYPERLINK \l "_Toc143699711" </w:instrText>
      </w:r>
      <w:r>
        <w:fldChar w:fldCharType="separate"/>
      </w:r>
      <w:r>
        <w:rPr>
          <w:rStyle w:val="24"/>
          <w:rFonts w:hint="eastAsia" w:ascii="方正仿宋_GBK" w:eastAsia="方正仿宋_GBK"/>
          <w:color w:val="000000" w:themeColor="text1"/>
        </w:rPr>
        <w:t>九、一般公共预算财政拨款项目支出决算表</w:t>
      </w:r>
      <w:r>
        <w:rPr>
          <w:rStyle w:val="24"/>
          <w:rFonts w:hint="eastAsia" w:ascii="方正仿宋_GBK" w:eastAsia="方正仿宋_GBK"/>
          <w:color w:val="000000" w:themeColor="text1"/>
        </w:rPr>
        <w:fldChar w:fldCharType="end"/>
      </w:r>
    </w:p>
    <w:p w14:paraId="55D694F8">
      <w:pPr>
        <w:pStyle w:val="16"/>
        <w:ind w:left="632"/>
        <w:jc w:val="left"/>
        <w:rPr>
          <w:rFonts w:ascii="方正仿宋_GBK" w:eastAsia="方正仿宋_GBK" w:hAnsiTheme="minorHAnsi" w:cstheme="minorBidi"/>
          <w:color w:val="000000" w:themeColor="text1"/>
          <w:szCs w:val="22"/>
        </w:rPr>
      </w:pPr>
      <w:r>
        <w:fldChar w:fldCharType="begin"/>
      </w:r>
      <w:r>
        <w:instrText xml:space="preserve"> HYPERLINK \l "_Toc143699712" </w:instrText>
      </w:r>
      <w:r>
        <w:fldChar w:fldCharType="separate"/>
      </w:r>
      <w:r>
        <w:rPr>
          <w:rStyle w:val="24"/>
          <w:rFonts w:hint="eastAsia" w:ascii="方正仿宋_GBK" w:eastAsia="方正仿宋_GBK"/>
          <w:color w:val="000000" w:themeColor="text1"/>
        </w:rPr>
        <w:t>十、政府性基金预算财政拨款收入支出决算表</w:t>
      </w:r>
      <w:r>
        <w:rPr>
          <w:rStyle w:val="24"/>
          <w:rFonts w:hint="eastAsia" w:ascii="方正仿宋_GBK" w:eastAsia="方正仿宋_GBK"/>
          <w:color w:val="000000" w:themeColor="text1"/>
        </w:rPr>
        <w:fldChar w:fldCharType="end"/>
      </w:r>
    </w:p>
    <w:p w14:paraId="3D259BDE">
      <w:pPr>
        <w:pStyle w:val="16"/>
        <w:ind w:left="632"/>
        <w:jc w:val="left"/>
        <w:rPr>
          <w:rFonts w:ascii="方正仿宋_GBK" w:eastAsia="方正仿宋_GBK" w:hAnsiTheme="minorHAnsi" w:cstheme="minorBidi"/>
          <w:color w:val="000000" w:themeColor="text1"/>
          <w:szCs w:val="22"/>
        </w:rPr>
      </w:pPr>
      <w:r>
        <w:fldChar w:fldCharType="begin"/>
      </w:r>
      <w:r>
        <w:instrText xml:space="preserve"> HYPERLINK \l "_Toc143699713" </w:instrText>
      </w:r>
      <w:r>
        <w:fldChar w:fldCharType="separate"/>
      </w:r>
      <w:r>
        <w:rPr>
          <w:rStyle w:val="24"/>
          <w:rFonts w:hint="eastAsia" w:ascii="方正仿宋_GBK" w:eastAsia="方正仿宋_GBK"/>
          <w:color w:val="000000" w:themeColor="text1"/>
        </w:rPr>
        <w:t>十一、</w:t>
      </w:r>
      <w:r>
        <w:rPr>
          <w:rStyle w:val="24"/>
          <w:rFonts w:hint="eastAsia" w:ascii="方正仿宋_GBK" w:hAnsi="仿宋" w:eastAsia="方正仿宋_GBK"/>
          <w:color w:val="000000" w:themeColor="text1"/>
        </w:rPr>
        <w:t>国</w:t>
      </w:r>
      <w:r>
        <w:rPr>
          <w:rStyle w:val="24"/>
          <w:rFonts w:hint="eastAsia" w:ascii="方正仿宋_GBK" w:hAnsi="仿宋" w:eastAsia="方正仿宋_GBK" w:cs="Cambria"/>
          <w:bCs/>
          <w:color w:val="000000" w:themeColor="text1"/>
        </w:rPr>
        <w:t>有资本经营预算财政拨款收入支出决算表</w:t>
      </w:r>
      <w:r>
        <w:rPr>
          <w:rStyle w:val="24"/>
          <w:rFonts w:hint="eastAsia" w:ascii="方正仿宋_GBK" w:hAnsi="仿宋" w:eastAsia="方正仿宋_GBK" w:cs="Cambria"/>
          <w:bCs/>
          <w:color w:val="000000" w:themeColor="text1"/>
        </w:rPr>
        <w:fldChar w:fldCharType="end"/>
      </w:r>
    </w:p>
    <w:p w14:paraId="25F2E653">
      <w:pPr>
        <w:pStyle w:val="16"/>
        <w:ind w:left="632"/>
        <w:jc w:val="left"/>
        <w:rPr>
          <w:rFonts w:ascii="方正仿宋_GBK" w:eastAsia="方正仿宋_GBK" w:hAnsiTheme="minorHAnsi" w:cstheme="minorBidi"/>
          <w:color w:val="000000" w:themeColor="text1"/>
          <w:szCs w:val="22"/>
        </w:rPr>
      </w:pPr>
      <w:r>
        <w:fldChar w:fldCharType="begin"/>
      </w:r>
      <w:r>
        <w:instrText xml:space="preserve"> HYPERLINK \l "_Toc143699714" </w:instrText>
      </w:r>
      <w:r>
        <w:fldChar w:fldCharType="separate"/>
      </w:r>
      <w:r>
        <w:rPr>
          <w:rStyle w:val="24"/>
          <w:rFonts w:hint="eastAsia" w:ascii="方正仿宋_GBK" w:eastAsia="方正仿宋_GBK"/>
          <w:color w:val="000000" w:themeColor="text1"/>
        </w:rPr>
        <w:t>十二、</w:t>
      </w:r>
      <w:r>
        <w:rPr>
          <w:rStyle w:val="24"/>
          <w:rFonts w:hint="eastAsia" w:ascii="方正仿宋_GBK" w:hAnsi="仿宋" w:eastAsia="方正仿宋_GBK" w:cs="Cambria"/>
          <w:bCs/>
          <w:color w:val="000000" w:themeColor="text1"/>
        </w:rPr>
        <w:t>国有资本经营预算财政拨款支出决算表</w:t>
      </w:r>
      <w:r>
        <w:rPr>
          <w:rStyle w:val="24"/>
          <w:rFonts w:hint="eastAsia" w:ascii="方正仿宋_GBK" w:hAnsi="仿宋" w:eastAsia="方正仿宋_GBK" w:cs="Cambria"/>
          <w:bCs/>
          <w:color w:val="000000" w:themeColor="text1"/>
        </w:rPr>
        <w:fldChar w:fldCharType="end"/>
      </w:r>
    </w:p>
    <w:p w14:paraId="16C5D3D5">
      <w:pPr>
        <w:pStyle w:val="16"/>
        <w:ind w:left="632"/>
        <w:jc w:val="left"/>
        <w:rPr>
          <w:rFonts w:ascii="方正仿宋_GBK" w:eastAsia="方正仿宋_GBK" w:hAnsiTheme="minorHAnsi" w:cstheme="minorBidi"/>
          <w:color w:val="000000" w:themeColor="text1"/>
          <w:szCs w:val="22"/>
        </w:rPr>
      </w:pPr>
      <w:r>
        <w:fldChar w:fldCharType="begin"/>
      </w:r>
      <w:r>
        <w:instrText xml:space="preserve"> HYPERLINK \l "_Toc143699715" </w:instrText>
      </w:r>
      <w:r>
        <w:fldChar w:fldCharType="separate"/>
      </w:r>
      <w:r>
        <w:rPr>
          <w:rStyle w:val="24"/>
          <w:rFonts w:hint="eastAsia" w:ascii="方正仿宋_GBK" w:eastAsia="方正仿宋_GBK"/>
          <w:color w:val="000000" w:themeColor="text1"/>
        </w:rPr>
        <w:t>十三、</w:t>
      </w:r>
      <w:r>
        <w:rPr>
          <w:rStyle w:val="24"/>
          <w:rFonts w:hint="eastAsia" w:ascii="方正仿宋_GBK" w:hAnsi="仿宋" w:eastAsia="方正仿宋_GBK" w:cs="Cambria"/>
          <w:bCs/>
          <w:color w:val="000000" w:themeColor="text1"/>
        </w:rPr>
        <w:t>财政拨款“三公”经费支出决算表</w:t>
      </w:r>
      <w:r>
        <w:rPr>
          <w:rStyle w:val="24"/>
          <w:rFonts w:hint="eastAsia" w:ascii="方正仿宋_GBK" w:hAnsi="仿宋" w:eastAsia="方正仿宋_GBK" w:cs="Cambria"/>
          <w:bCs/>
          <w:color w:val="000000" w:themeColor="text1"/>
        </w:rPr>
        <w:fldChar w:fldCharType="end"/>
      </w:r>
    </w:p>
    <w:p w14:paraId="2CB25AFC">
      <w:pPr>
        <w:keepNext w:val="0"/>
        <w:keepLines w:val="0"/>
        <w:pageBreakBefore w:val="0"/>
        <w:widowControl/>
        <w:kinsoku/>
        <w:wordWrap/>
        <w:overflowPunct/>
        <w:topLinePunct w:val="0"/>
        <w:autoSpaceDE/>
        <w:autoSpaceDN/>
        <w:bidi w:val="0"/>
        <w:spacing w:line="560" w:lineRule="exact"/>
        <w:jc w:val="left"/>
        <w:textAlignment w:val="auto"/>
        <w:rPr>
          <w:sz w:val="28"/>
          <w:szCs w:val="28"/>
        </w:rPr>
      </w:pPr>
      <w:r>
        <w:rPr>
          <w:color w:val="000000" w:themeColor="text1"/>
          <w:sz w:val="28"/>
          <w:szCs w:val="28"/>
        </w:rPr>
        <w:fldChar w:fldCharType="end"/>
      </w:r>
    </w:p>
    <w:bookmarkEnd w:id="1"/>
    <w:p w14:paraId="4F19F9A2">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bookmarkStart w:id="2" w:name="_Toc15377200"/>
      <w:bookmarkStart w:id="3" w:name="_Toc143699687"/>
    </w:p>
    <w:p w14:paraId="35FBB0BC">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148B9927">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5AC1A1E8">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25F77141">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50A1D4A4">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0C80BB04">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0BCBA005">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49AD63A9">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p>
    <w:p w14:paraId="430F2A9C">
      <w:pPr>
        <w:pStyle w:val="2"/>
        <w:keepNext w:val="0"/>
        <w:keepLines w:val="0"/>
        <w:topLinePunct/>
        <w:spacing w:before="0" w:after="0" w:line="240" w:lineRule="auto"/>
        <w:jc w:val="center"/>
        <w:rPr>
          <w:rFonts w:hint="eastAsia" w:ascii="方正黑体_GBK" w:hAnsi="Times New Roman" w:eastAsia="方正黑体_GBK" w:cs="Times New Roman"/>
          <w:b w:val="0"/>
          <w:bCs w:val="0"/>
          <w:sz w:val="32"/>
          <w:szCs w:val="32"/>
        </w:rPr>
      </w:pPr>
      <w:r>
        <w:rPr>
          <w:rFonts w:hint="eastAsia" w:ascii="方正黑体_GBK" w:hAnsi="Times New Roman" w:eastAsia="方正黑体_GBK" w:cs="Times New Roman"/>
          <w:b w:val="0"/>
          <w:bCs w:val="0"/>
          <w:sz w:val="32"/>
          <w:szCs w:val="32"/>
        </w:rPr>
        <w:t>第一部分</w:t>
      </w:r>
      <w:r>
        <w:rPr>
          <w:rFonts w:hint="eastAsia" w:ascii="方正黑体_GBK" w:hAnsi="Times New Roman" w:eastAsia="方正黑体_GBK" w:cs="Times New Roman"/>
          <w:b w:val="0"/>
          <w:bCs w:val="0"/>
          <w:sz w:val="32"/>
          <w:szCs w:val="32"/>
          <w:lang w:val="en-US" w:eastAsia="zh-CN"/>
        </w:rPr>
        <w:t xml:space="preserve"> </w:t>
      </w:r>
      <w:r>
        <w:rPr>
          <w:rFonts w:hint="eastAsia" w:ascii="方正黑体_GBK" w:hAnsi="Times New Roman" w:eastAsia="方正黑体_GBK" w:cs="Times New Roman"/>
          <w:b w:val="0"/>
          <w:bCs w:val="0"/>
          <w:sz w:val="32"/>
          <w:szCs w:val="32"/>
        </w:rPr>
        <w:t xml:space="preserve"> </w:t>
      </w:r>
      <w:r>
        <w:rPr>
          <w:rFonts w:hint="eastAsia" w:ascii="方正黑体_GBK" w:hAnsi="Times New Roman" w:eastAsia="方正黑体_GBK" w:cs="Times New Roman"/>
          <w:b w:val="0"/>
          <w:bCs w:val="0"/>
          <w:sz w:val="32"/>
          <w:szCs w:val="32"/>
          <w:lang w:eastAsia="zh-CN"/>
        </w:rPr>
        <w:t>单位</w:t>
      </w:r>
      <w:r>
        <w:rPr>
          <w:rFonts w:hint="eastAsia" w:ascii="方正黑体_GBK" w:hAnsi="Times New Roman" w:eastAsia="方正黑体_GBK" w:cs="Times New Roman"/>
          <w:b w:val="0"/>
          <w:bCs w:val="0"/>
          <w:sz w:val="32"/>
          <w:szCs w:val="32"/>
        </w:rPr>
        <w:t>概况</w:t>
      </w:r>
    </w:p>
    <w:p w14:paraId="6B2A55F1">
      <w:pPr>
        <w:pStyle w:val="3"/>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主要职责</w:t>
      </w:r>
    </w:p>
    <w:p w14:paraId="7D58F11F">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成都儿童专科医院创办于1937年，其前身是“序宾儿科诊所”，1991年更名为“成都儿童专科医院”。成都儿童专科医院是青羊区政府举办的非营利性公立医院。集医疗、科研、教学、预防保健为一体，是西南地区历史最悠久的一所二级甲等儿童专科医院。现有青羊、成华两个院区。</w:t>
      </w:r>
    </w:p>
    <w:p w14:paraId="6BE5A637">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 xml:space="preserve"> 医院现有在职职工350余人，编制床位210张，年门诊量30万人次以上。设有小儿呼吸内科、消化内科、神经内科、血液肾病、小儿外科、儿童预防保健、中医科、口腔科、眼耳鼻喉科、皮肤科等22个临床专科和亚专业。小儿消化内科是成都市重点专科，儿科已获成都市县级重点专科立项。多名专家担任国家、省市级医学会、各专委会委员及成都市儿科质控中心专家成员，是成都市青羊区儿科质量控制中心。近年相继成为国家儿童医学中心“互联网+”肾脏专科联盟和国家呼吸系统临床医学研究中心网络成员单位，四川大学华西第二医院区域联盟医院。先后与北京儿童医院、重庆医科大学附属儿童医院、四川大学华西第二医院、四川省人民医院、成都市第三人民医院构建了分级诊疗、双向转诊、远程会诊体系；签订医疗技术合作协议，致力于提升医院科研能力和技术水平。</w:t>
      </w:r>
    </w:p>
    <w:p w14:paraId="129CDBC3">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医院在2015年被评为四川省数字化医院，医院信息化建设完善，微信、天府市民云均可以预约挂号，减少了挂号缴费的排队等待时间。为深化公立医院改革，逐步提升医院医疗服务能力，推进分级诊疗建设，我院与重庆医科大学附属儿童医院达成远程网络医疗合作框架协议，包括远程会诊、远程影像诊断、远程教育等项目，从而进一步提升医院服务能力。</w:t>
      </w:r>
    </w:p>
    <w:p w14:paraId="643C1487">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长期以来，医院重视医疗技术的发展建设，陆续开展了中药离子导入（中频）治疗、一氧化氮检测、机械排痰、肺功能检查、13-碳呼吸实验检测幽门螺杆菌感染、脑电地形图、小儿无痛电子胃镜检查、鼻腔负压置换、鼻耳内镜检查、小儿中医推拿、耳针等40余项专业技术。</w:t>
      </w:r>
    </w:p>
    <w:p w14:paraId="47B9682C">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小儿外科开展的离断性肾盂输尿管吻合术和阴茎畸形矫正术极具专业特色，小儿腹腔镜手术让患儿手术出血少、伤口美观，达到近乎无痕的效果。儿保科开展了矮身材、性早熟的诊治以及生长发育评估、骨龄测定、丹佛智力筛查等检查项目；口腔科开展儿童和成人的各类龋病、牙髓及根尖病变、牙周及粘膜病的治疗，各类牙体牙列缺损、缺失的修复，还开展先进的隐形义齿、烤瓷冠桥、整铸支架义齿修复、儿童及成人各类牙列畸形的正畸治疗。</w:t>
      </w:r>
    </w:p>
    <w:p w14:paraId="1413B55C">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医院重视专科合作，积极与多家上级医院建立合作关系。先后与北京儿童医院、重庆医科大学附属儿童医院、四川大学华西第二医院、四川省人民医院、成都市第三人民医院、三六三医院等多家三级医院建立战略合作伙伴；签订医疗技术合作协议，致力于提升医院科研能力和技术水平。医院一直努力践行社会责任，承担多项疾病监测项目，是国家级流感监测哨点医院。</w:t>
      </w:r>
    </w:p>
    <w:p w14:paraId="16855325">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医院是成都市城乡医疗保险及各商业保险公司定点医院。严格执行国家医改政策，实行药品、医疗耗材零加成，切实减轻老百姓医疗负担。</w:t>
      </w:r>
    </w:p>
    <w:p w14:paraId="4B2A2173">
      <w:pPr>
        <w:topLinePunct/>
        <w:ind w:firstLine="790" w:firstLineChars="250"/>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拥有八十余年历史的成都儿童专科医院，积淀历久弥新的医院文化，充满朝气与活力。全体儿专人本着“立足青羊，服务全市”的服务理念，将继续秉承“医者德为先”的核心价值观和“德高、业精、公益、安全”的医院服务宗旨，以精湛的医术和高度的责任感承载生命的重托。</w:t>
      </w:r>
    </w:p>
    <w:p w14:paraId="0ED8778D">
      <w:pPr>
        <w:pStyle w:val="3"/>
        <w:keepNext w:val="0"/>
        <w:keepLines w:val="0"/>
        <w:topLinePunct/>
        <w:spacing w:before="0" w:after="0" w:line="240" w:lineRule="auto"/>
        <w:ind w:firstLine="632" w:firstLineChars="200"/>
        <w:rPr>
          <w:rFonts w:ascii="Times New Roman" w:hAnsi="Times New Roman" w:eastAsia="方正黑体_GBK" w:cs="Times New Roman"/>
          <w:b w:val="0"/>
          <w:bCs w:val="0"/>
          <w:color w:val="000000"/>
        </w:rPr>
      </w:pPr>
      <w:r>
        <w:rPr>
          <w:rFonts w:ascii="Times New Roman" w:hAnsi="Times New Roman" w:eastAsia="方正黑体_GBK" w:cs="Times New Roman"/>
          <w:b w:val="0"/>
          <w:bCs w:val="0"/>
          <w:color w:val="000000"/>
        </w:rPr>
        <w:t>二、机构设置</w:t>
      </w:r>
      <w:bookmarkEnd w:id="2"/>
      <w:bookmarkEnd w:id="3"/>
    </w:p>
    <w:p w14:paraId="445DCD07">
      <w:pPr>
        <w:topLinePunct/>
        <w:ind w:firstLine="790" w:firstLineChars="250"/>
        <w:rPr>
          <w:rFonts w:hint="default" w:ascii="Times New Roman" w:hAnsi="Times New Roman" w:eastAsia="方正仿宋_GBK" w:cs="Times New Roman"/>
          <w:lang w:val="en-US" w:eastAsia="zh-CN"/>
        </w:rPr>
      </w:pPr>
      <w:bookmarkStart w:id="4" w:name="OLE_LINK1"/>
      <w:bookmarkStart w:id="5" w:name="_Toc15377204"/>
      <w:bookmarkStart w:id="6" w:name="_Toc143699688"/>
      <w:r>
        <w:rPr>
          <w:rFonts w:hint="eastAsia" w:ascii="Times New Roman" w:hAnsi="Times New Roman" w:eastAsia="方正仿宋_GBK" w:cs="Times New Roman"/>
          <w:lang w:val="en-US" w:eastAsia="zh-CN"/>
        </w:rPr>
        <w:t>我单位为非盈利性公立儿童专科医院，本院目前拥有两个院区，一是位于青羊区东城根上街39号的总院区，一是位于成华区双荆路2号的城北分院院区。</w:t>
      </w:r>
    </w:p>
    <w:p w14:paraId="7A4A992B">
      <w:pPr>
        <w:topLinePunct/>
        <w:ind w:firstLine="690" w:firstLineChars="250"/>
        <w:rPr>
          <w:rFonts w:hint="eastAsia" w:ascii="宋体" w:hAnsi="宋体" w:eastAsia="宋体" w:cs="宋体"/>
          <w:sz w:val="28"/>
          <w:szCs w:val="28"/>
        </w:rPr>
      </w:pPr>
    </w:p>
    <w:p w14:paraId="4D994A8D">
      <w:pPr>
        <w:widowControl/>
        <w:jc w:val="left"/>
        <w:rPr>
          <w:rFonts w:eastAsia="方正仿宋_GBK"/>
        </w:rPr>
      </w:pPr>
      <w:r>
        <w:rPr>
          <w:rFonts w:eastAsia="方正仿宋_GBK"/>
        </w:rPr>
        <w:br w:type="page"/>
      </w:r>
    </w:p>
    <w:bookmarkEnd w:id="4"/>
    <w:bookmarkEnd w:id="5"/>
    <w:bookmarkEnd w:id="6"/>
    <w:p w14:paraId="6E55B04C">
      <w:pPr>
        <w:topLinePunct/>
        <w:ind w:firstLine="790" w:firstLineChars="250"/>
        <w:jc w:val="center"/>
        <w:rPr>
          <w:rFonts w:ascii="Times New Roman" w:hAnsi="Times New Roman" w:eastAsia="方正黑体_GBK" w:cs="Times New Roman"/>
        </w:rPr>
      </w:pPr>
      <w:bookmarkStart w:id="7" w:name="_Toc15396602"/>
      <w:r>
        <w:rPr>
          <w:rFonts w:hint="eastAsia" w:ascii="Times New Roman" w:hAnsi="Times New Roman" w:eastAsia="方正黑体_GBK" w:cs="Times New Roman"/>
        </w:rPr>
        <w:t>第二部分</w:t>
      </w:r>
      <w:r>
        <w:rPr>
          <w:rFonts w:hint="eastAsia" w:ascii="Times New Roman" w:hAnsi="Times New Roman" w:eastAsia="方正黑体_GBK" w:cs="Times New Roman"/>
          <w:lang w:val="en-US" w:eastAsia="zh-CN"/>
        </w:rPr>
        <w:t xml:space="preserve"> </w:t>
      </w:r>
      <w:r>
        <w:rPr>
          <w:rFonts w:hint="eastAsia" w:ascii="Times New Roman" w:hAnsi="Times New Roman" w:eastAsia="方正黑体_GBK" w:cs="Times New Roman"/>
        </w:rPr>
        <w:t xml:space="preserve"> </w:t>
      </w:r>
      <w:r>
        <w:rPr>
          <w:rFonts w:hint="eastAsia" w:ascii="Times New Roman" w:hAnsi="Times New Roman" w:eastAsia="方正黑体_GBK" w:cs="Times New Roman"/>
          <w:lang w:val="en-US" w:eastAsia="zh-CN"/>
        </w:rPr>
        <w:t>2024年度</w:t>
      </w:r>
      <w:r>
        <w:rPr>
          <w:rFonts w:hint="eastAsia" w:ascii="Times New Roman" w:hAnsi="Times New Roman" w:eastAsia="方正黑体_GBK" w:cs="Times New Roman"/>
        </w:rPr>
        <w:t>部门决算情况说明</w:t>
      </w:r>
      <w:bookmarkEnd w:id="7"/>
    </w:p>
    <w:p w14:paraId="59B467D1">
      <w:pPr>
        <w:topLinePunct/>
        <w:rPr>
          <w:rFonts w:eastAsia="方正仿宋_GBK"/>
        </w:rPr>
      </w:pPr>
    </w:p>
    <w:p w14:paraId="07815A6F">
      <w:pPr>
        <w:numPr>
          <w:ilvl w:val="0"/>
          <w:numId w:val="2"/>
        </w:numPr>
        <w:topLinePunct/>
        <w:spacing w:line="540" w:lineRule="exact"/>
        <w:ind w:firstLine="632" w:firstLineChars="200"/>
        <w:rPr>
          <w:rFonts w:ascii="Times New Roman" w:hAnsi="Times New Roman" w:eastAsia="方正黑体_GBK" w:cs="Times New Roman"/>
          <w:b w:val="0"/>
          <w:color w:val="000000"/>
        </w:rPr>
      </w:pPr>
      <w:bookmarkStart w:id="8" w:name="_Toc143699689"/>
      <w:bookmarkStart w:id="9" w:name="_Toc15377205"/>
      <w:r>
        <w:rPr>
          <w:rFonts w:ascii="Times New Roman" w:hAnsi="Times New Roman" w:eastAsia="方正黑体_GBK" w:cs="Times New Roman"/>
          <w:b w:val="0"/>
          <w:bCs w:val="0"/>
          <w:color w:val="000000"/>
        </w:rPr>
        <w:t>收</w:t>
      </w:r>
      <w:r>
        <w:rPr>
          <w:rFonts w:ascii="Times New Roman" w:hAnsi="Times New Roman" w:eastAsia="方正黑体_GBK" w:cs="Times New Roman"/>
          <w:b w:val="0"/>
          <w:color w:val="000000"/>
        </w:rPr>
        <w:t>入支出决算总体情况说明</w:t>
      </w:r>
      <w:bookmarkEnd w:id="8"/>
      <w:bookmarkEnd w:id="9"/>
    </w:p>
    <w:p w14:paraId="14E705C4">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2024年度收、支总计均为14071.49万元。与2023年度相比，收、支总计各加减少167.1万元，下降1.2%。主要变动原因是本年医院业务量减少，医疗收入减少，相关业务活动费用、人员支出减少。</w:t>
      </w:r>
    </w:p>
    <w:p w14:paraId="027DF94A">
      <w:pPr>
        <w:topLinePunct/>
        <w:spacing w:line="540" w:lineRule="exact"/>
        <w:ind w:firstLine="632" w:firstLineChars="200"/>
        <w:rPr>
          <w:rFonts w:hint="eastAsia" w:ascii="Times New Roman" w:hAnsi="Times New Roman" w:eastAsia="方正仿宋_GBK" w:cs="Times New Roman"/>
          <w:color w:val="000000"/>
        </w:rPr>
      </w:pPr>
      <w:r>
        <w:rPr>
          <w:rFonts w:hint="eastAsia" w:ascii="Times New Roman" w:hAnsi="Times New Roman" w:eastAsia="方正仿宋_GBK" w:cs="Times New Roman"/>
          <w:color w:val="000000"/>
        </w:rPr>
        <w:t>（图1：收、支决算总计变动情况图）（柱状图）</w:t>
      </w:r>
    </w:p>
    <w:p w14:paraId="38500D42">
      <w:pPr>
        <w:topLinePunct/>
        <w:spacing w:line="540" w:lineRule="exact"/>
        <w:ind w:firstLine="632" w:firstLineChars="200"/>
        <w:rPr>
          <w:rFonts w:eastAsia="方正仿宋_GBK"/>
          <w:color w:val="000000"/>
        </w:rPr>
      </w:pPr>
    </w:p>
    <w:p w14:paraId="765F569D">
      <w:pPr>
        <w:topLinePunct/>
        <w:spacing w:line="540" w:lineRule="exact"/>
        <w:ind w:firstLine="632" w:firstLineChars="200"/>
        <w:rPr>
          <w:rFonts w:eastAsia="方正仿宋_GBK"/>
          <w:color w:val="000000"/>
        </w:rPr>
      </w:pPr>
    </w:p>
    <w:p w14:paraId="648FD3AC">
      <w:pPr>
        <w:topLinePunct/>
        <w:spacing w:line="540" w:lineRule="exact"/>
        <w:ind w:firstLine="632" w:firstLineChars="200"/>
        <w:rPr>
          <w:rFonts w:eastAsia="方正仿宋_GBK"/>
          <w:color w:val="000000"/>
        </w:rPr>
      </w:pPr>
    </w:p>
    <w:p w14:paraId="2E12602A">
      <w:pPr>
        <w:topLinePunct/>
        <w:spacing w:line="540" w:lineRule="exact"/>
        <w:ind w:firstLine="632" w:firstLineChars="200"/>
        <w:rPr>
          <w:rFonts w:eastAsia="方正仿宋_GBK"/>
          <w:color w:val="000000"/>
        </w:rPr>
      </w:pPr>
    </w:p>
    <w:p w14:paraId="15CCC2C7">
      <w:pPr>
        <w:pStyle w:val="3"/>
        <w:keepNext w:val="0"/>
        <w:keepLines w:val="0"/>
        <w:topLinePunct/>
        <w:spacing w:before="0" w:after="0" w:line="540" w:lineRule="exact"/>
        <w:ind w:firstLine="632" w:firstLineChars="200"/>
        <w:rPr>
          <w:rFonts w:ascii="Times New Roman" w:hAnsi="Times New Roman" w:eastAsia="方正黑体_GBK" w:cs="Times New Roman"/>
          <w:b w:val="0"/>
          <w:bCs w:val="0"/>
          <w:color w:val="000000"/>
        </w:rPr>
      </w:pPr>
      <w:bookmarkStart w:id="10" w:name="_Toc15377206"/>
    </w:p>
    <w:p w14:paraId="2541ECFE">
      <w:pPr>
        <w:pStyle w:val="3"/>
        <w:keepNext w:val="0"/>
        <w:keepLines w:val="0"/>
        <w:topLinePunct/>
        <w:spacing w:before="0" w:after="0" w:line="540" w:lineRule="exact"/>
        <w:ind w:firstLine="632" w:firstLineChars="200"/>
        <w:rPr>
          <w:rFonts w:hint="eastAsia" w:ascii="Times New Roman" w:hAnsi="Times New Roman" w:eastAsia="方正黑体_GBK" w:cs="Times New Roman"/>
          <w:b w:val="0"/>
          <w:bCs w:val="0"/>
          <w:color w:val="000000"/>
        </w:rPr>
      </w:pPr>
      <w:bookmarkStart w:id="11" w:name="_Toc143699690"/>
    </w:p>
    <w:p w14:paraId="5507E48C">
      <w:pPr>
        <w:pStyle w:val="3"/>
        <w:keepNext w:val="0"/>
        <w:keepLines w:val="0"/>
        <w:topLinePunct/>
        <w:spacing w:before="0" w:after="0" w:line="540" w:lineRule="exact"/>
      </w:pPr>
      <w:r>
        <w:drawing>
          <wp:anchor distT="0" distB="0" distL="114300" distR="114300" simplePos="0" relativeHeight="251659264" behindDoc="0" locked="0" layoutInCell="1" allowOverlap="1">
            <wp:simplePos x="0" y="0"/>
            <wp:positionH relativeFrom="column">
              <wp:posOffset>5080</wp:posOffset>
            </wp:positionH>
            <wp:positionV relativeFrom="paragraph">
              <wp:posOffset>-1854835</wp:posOffset>
            </wp:positionV>
            <wp:extent cx="4037965" cy="2111375"/>
            <wp:effectExtent l="5080" t="4445" r="14605" b="17780"/>
            <wp:wrapSquare wrapText="bothSides"/>
            <wp:docPr id="10249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E2C8A4D">
      <w:pPr>
        <w:rPr>
          <w:rFonts w:hint="eastAsia"/>
        </w:rPr>
      </w:pPr>
    </w:p>
    <w:p w14:paraId="5B3968D8">
      <w:pPr>
        <w:pStyle w:val="3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二、收入决算情况说明</w:t>
      </w:r>
      <w:bookmarkEnd w:id="10"/>
      <w:bookmarkEnd w:id="11"/>
    </w:p>
    <w:p w14:paraId="78CEE41D">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2024年度本年收入合计13128.74万元，其中：一般公共预算财政拨款收入2025.01万元，占15.4%；政府性基金预算财政拨款收入650万元，占5%；事业收入10323.84万元，占78.6%；其他收入129.89万元，占1%。</w:t>
      </w:r>
    </w:p>
    <w:p w14:paraId="060BC19D">
      <w:pPr>
        <w:topLinePunct/>
        <w:spacing w:line="540" w:lineRule="exact"/>
        <w:ind w:firstLine="632" w:firstLineChars="200"/>
        <w:jc w:val="center"/>
        <w:rPr>
          <w:rFonts w:hint="eastAsia" w:ascii="Times New Roman" w:hAnsi="Times New Roman" w:eastAsia="方正仿宋_GBK" w:cs="Times New Roman"/>
          <w:color w:val="000000"/>
        </w:rPr>
      </w:pPr>
      <w:r>
        <w:rPr>
          <w:rFonts w:hint="eastAsia" w:ascii="Times New Roman" w:hAnsi="Times New Roman" w:eastAsia="方正仿宋_GBK" w:cs="Times New Roman"/>
          <w:color w:val="000000"/>
        </w:rPr>
        <w:t>（图2：收入决算结构图）（饼状图）</w:t>
      </w:r>
      <w:bookmarkStart w:id="12" w:name="_Toc15377207"/>
    </w:p>
    <w:p w14:paraId="43FBAC46">
      <w:pPr>
        <w:pStyle w:val="3"/>
        <w:keepNext w:val="0"/>
        <w:keepLines w:val="0"/>
        <w:topLinePunct/>
        <w:spacing w:before="0" w:after="0" w:line="240" w:lineRule="auto"/>
        <w:ind w:firstLine="0" w:firstLineChars="0"/>
        <w:rPr>
          <w:rFonts w:hint="eastAsia" w:ascii="Times New Roman" w:hAnsi="Times New Roman" w:eastAsia="方正黑体_GBK" w:cs="Times New Roman"/>
          <w:b w:val="0"/>
          <w:bCs w:val="0"/>
          <w:color w:val="000000"/>
        </w:rPr>
      </w:pPr>
      <w:bookmarkStart w:id="13" w:name="_Toc143699691"/>
      <w:r>
        <w:drawing>
          <wp:anchor distT="0" distB="0" distL="114300" distR="114300" simplePos="0" relativeHeight="251660288" behindDoc="0" locked="0" layoutInCell="1" allowOverlap="1">
            <wp:simplePos x="0" y="0"/>
            <wp:positionH relativeFrom="column">
              <wp:posOffset>243840</wp:posOffset>
            </wp:positionH>
            <wp:positionV relativeFrom="paragraph">
              <wp:posOffset>231140</wp:posOffset>
            </wp:positionV>
            <wp:extent cx="4315460" cy="2707640"/>
            <wp:effectExtent l="4445" t="4445" r="23495" b="12065"/>
            <wp:wrapSquare wrapText="bothSides"/>
            <wp:docPr id="102493"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BE79672">
      <w:pPr>
        <w:pStyle w:val="3"/>
        <w:keepNext w:val="0"/>
        <w:keepLines w:val="0"/>
        <w:topLinePunct/>
        <w:spacing w:before="0" w:after="0" w:line="540" w:lineRule="exact"/>
        <w:ind w:firstLine="632" w:firstLineChars="200"/>
      </w:pPr>
    </w:p>
    <w:p w14:paraId="13BFBE7C">
      <w:pPr>
        <w:pStyle w:val="3"/>
        <w:keepNext w:val="0"/>
        <w:keepLines w:val="0"/>
        <w:topLinePunct/>
        <w:spacing w:before="0" w:after="0" w:line="540" w:lineRule="exact"/>
        <w:ind w:firstLine="632" w:firstLineChars="200"/>
      </w:pPr>
    </w:p>
    <w:p w14:paraId="72D5B39E">
      <w:pPr>
        <w:pStyle w:val="3"/>
        <w:keepNext w:val="0"/>
        <w:keepLines w:val="0"/>
        <w:topLinePunct/>
        <w:spacing w:before="0" w:after="0" w:line="540" w:lineRule="exact"/>
        <w:ind w:firstLine="632" w:firstLineChars="200"/>
      </w:pPr>
    </w:p>
    <w:p w14:paraId="0CA921E8">
      <w:pPr>
        <w:pStyle w:val="3"/>
        <w:keepNext w:val="0"/>
        <w:keepLines w:val="0"/>
        <w:topLinePunct/>
        <w:spacing w:before="0" w:after="0" w:line="540" w:lineRule="exact"/>
        <w:ind w:firstLine="632" w:firstLineChars="200"/>
      </w:pPr>
    </w:p>
    <w:p w14:paraId="6353B49C">
      <w:pPr>
        <w:pStyle w:val="3"/>
        <w:keepNext w:val="0"/>
        <w:keepLines w:val="0"/>
        <w:topLinePunct/>
        <w:spacing w:before="0" w:after="0" w:line="540" w:lineRule="exact"/>
        <w:ind w:firstLine="632" w:firstLineChars="200"/>
      </w:pPr>
    </w:p>
    <w:p w14:paraId="06E19830">
      <w:pPr>
        <w:pStyle w:val="3"/>
        <w:keepNext w:val="0"/>
        <w:keepLines w:val="0"/>
        <w:topLinePunct/>
        <w:spacing w:before="0" w:after="0" w:line="540" w:lineRule="exact"/>
        <w:ind w:firstLine="632" w:firstLineChars="200"/>
        <w:rPr>
          <w:rFonts w:hint="eastAsia" w:ascii="Times New Roman" w:hAnsi="Times New Roman" w:eastAsia="方正黑体_GBK" w:cs="Times New Roman"/>
          <w:b w:val="0"/>
          <w:bCs w:val="0"/>
          <w:color w:val="000000"/>
        </w:rPr>
      </w:pPr>
    </w:p>
    <w:p w14:paraId="7B32269D">
      <w:pPr>
        <w:pStyle w:val="3"/>
        <w:keepNext w:val="0"/>
        <w:keepLines w:val="0"/>
        <w:topLinePunct/>
        <w:spacing w:before="0" w:after="0" w:line="540" w:lineRule="exact"/>
        <w:ind w:firstLine="632" w:firstLineChars="200"/>
        <w:rPr>
          <w:rFonts w:hint="eastAsia" w:ascii="Times New Roman" w:hAnsi="Times New Roman" w:eastAsia="方正黑体_GBK" w:cs="Times New Roman"/>
          <w:b w:val="0"/>
          <w:bCs w:val="0"/>
          <w:color w:val="000000"/>
        </w:rPr>
      </w:pPr>
    </w:p>
    <w:p w14:paraId="425BFDC2">
      <w:pPr>
        <w:pStyle w:val="3"/>
        <w:keepNext w:val="0"/>
        <w:keepLines w:val="0"/>
        <w:topLinePunct/>
        <w:spacing w:before="0" w:after="0" w:line="540" w:lineRule="exact"/>
        <w:ind w:firstLine="632" w:firstLineChars="200"/>
        <w:rPr>
          <w:rFonts w:hint="eastAsia" w:ascii="Times New Roman" w:hAnsi="Times New Roman" w:eastAsia="方正黑体_GBK" w:cs="Times New Roman"/>
          <w:b w:val="0"/>
          <w:bCs w:val="0"/>
          <w:color w:val="000000"/>
        </w:rPr>
      </w:pPr>
    </w:p>
    <w:p w14:paraId="7874E5CA">
      <w:pPr>
        <w:pStyle w:val="3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三、支出决算情况说明</w:t>
      </w:r>
      <w:bookmarkEnd w:id="12"/>
      <w:bookmarkEnd w:id="13"/>
    </w:p>
    <w:p w14:paraId="45B5264E">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2024年度本年支出合计14071.49万元，其中：基本支出889.3万元，占6.3%；项目支出13182.19万元，占93.7%。</w:t>
      </w:r>
    </w:p>
    <w:p w14:paraId="240AFA7B">
      <w:pPr>
        <w:topLinePunct/>
        <w:spacing w:line="540" w:lineRule="exact"/>
        <w:ind w:firstLine="632" w:firstLineChars="200"/>
        <w:jc w:val="center"/>
        <w:rPr>
          <w:rFonts w:hint="eastAsia" w:ascii="Times New Roman" w:hAnsi="Times New Roman" w:eastAsia="方正仿宋_GBK" w:cs="Times New Roman"/>
          <w:color w:val="000000"/>
        </w:rPr>
      </w:pPr>
      <w:r>
        <w:rPr>
          <w:rFonts w:hint="eastAsia" w:ascii="Times New Roman" w:hAnsi="Times New Roman" w:eastAsia="方正仿宋_GBK" w:cs="Times New Roman"/>
          <w:color w:val="000000"/>
        </w:rPr>
        <w:t>（图3：支出决算结构图）（饼状图）</w:t>
      </w:r>
    </w:p>
    <w:p w14:paraId="74C7CEF4">
      <w:pPr>
        <w:pStyle w:val="26"/>
      </w:pPr>
    </w:p>
    <w:p w14:paraId="2A064CA3">
      <w:pPr>
        <w:topLinePunct/>
        <w:spacing w:line="540" w:lineRule="exact"/>
        <w:ind w:firstLine="632" w:firstLineChars="200"/>
        <w:jc w:val="center"/>
      </w:pPr>
    </w:p>
    <w:p w14:paraId="636436DC">
      <w:pPr>
        <w:topLinePunct/>
        <w:spacing w:line="540" w:lineRule="exact"/>
        <w:ind w:firstLine="632" w:firstLineChars="200"/>
        <w:jc w:val="center"/>
      </w:pPr>
    </w:p>
    <w:p w14:paraId="02B2B0F9">
      <w:pPr>
        <w:topLinePunct/>
        <w:spacing w:line="540" w:lineRule="exact"/>
        <w:ind w:firstLine="632" w:firstLineChars="200"/>
        <w:jc w:val="center"/>
      </w:pPr>
    </w:p>
    <w:p w14:paraId="5E1D6877">
      <w:pPr>
        <w:topLinePunct/>
        <w:spacing w:line="540" w:lineRule="exact"/>
        <w:ind w:firstLine="632" w:firstLineChars="200"/>
        <w:jc w:val="center"/>
      </w:pPr>
    </w:p>
    <w:p w14:paraId="51805BB7">
      <w:pPr>
        <w:topLinePunct/>
        <w:spacing w:line="540" w:lineRule="exact"/>
        <w:ind w:firstLine="632" w:firstLineChars="200"/>
        <w:jc w:val="center"/>
      </w:pPr>
    </w:p>
    <w:p w14:paraId="2189419B">
      <w:pPr>
        <w:topLinePunct/>
        <w:spacing w:line="540" w:lineRule="exact"/>
        <w:ind w:firstLine="632" w:firstLineChars="200"/>
        <w:jc w:val="center"/>
      </w:pPr>
    </w:p>
    <w:p w14:paraId="250DC9C7">
      <w:pPr>
        <w:topLinePunct/>
        <w:spacing w:line="540" w:lineRule="exact"/>
        <w:ind w:firstLine="632" w:firstLineChars="200"/>
        <w:jc w:val="center"/>
        <w:rPr>
          <w:rFonts w:eastAsia="方正仿宋_GBK"/>
          <w:color w:val="000000"/>
        </w:rPr>
      </w:pPr>
      <w:r>
        <w:drawing>
          <wp:anchor distT="0" distB="0" distL="114300" distR="114300" simplePos="0" relativeHeight="251661312" behindDoc="0" locked="0" layoutInCell="1" allowOverlap="1">
            <wp:simplePos x="0" y="0"/>
            <wp:positionH relativeFrom="column">
              <wp:posOffset>631825</wp:posOffset>
            </wp:positionH>
            <wp:positionV relativeFrom="paragraph">
              <wp:posOffset>-2045335</wp:posOffset>
            </wp:positionV>
            <wp:extent cx="3924935" cy="2807335"/>
            <wp:effectExtent l="4445" t="4445" r="13970" b="7620"/>
            <wp:wrapSquare wrapText="bothSides"/>
            <wp:docPr id="102494"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CF177C4">
      <w:pPr>
        <w:topLinePunct/>
        <w:spacing w:line="540" w:lineRule="exact"/>
        <w:ind w:firstLine="632" w:firstLineChars="200"/>
        <w:jc w:val="center"/>
        <w:rPr>
          <w:rFonts w:eastAsia="方正仿宋_GBK"/>
          <w:color w:val="000000"/>
        </w:rPr>
      </w:pPr>
    </w:p>
    <w:p w14:paraId="55F5ADFA">
      <w:pPr>
        <w:topLinePunct/>
        <w:spacing w:line="240" w:lineRule="auto"/>
        <w:outlineLvl w:val="1"/>
        <w:rPr>
          <w:rFonts w:hint="eastAsia" w:ascii="方正黑体_GBK" w:eastAsia="方正黑体_GBK"/>
          <w:color w:val="000000"/>
        </w:rPr>
      </w:pPr>
      <w:bookmarkStart w:id="14" w:name="_Toc15377208"/>
      <w:bookmarkStart w:id="15" w:name="_Toc143699692"/>
    </w:p>
    <w:p w14:paraId="5BD6676B">
      <w:pPr>
        <w:spacing w:line="600" w:lineRule="exact"/>
        <w:ind w:firstLine="632" w:firstLineChars="200"/>
        <w:outlineLvl w:val="1"/>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四、财政拨款收入支出决算总体情况说明</w:t>
      </w:r>
      <w:bookmarkEnd w:id="14"/>
      <w:bookmarkEnd w:id="15"/>
    </w:p>
    <w:p w14:paraId="3EDB2E07">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2024年度财政拨款收、支总计均为2675.01万元。与2023年度相比，财政拨款收、支总计各增加281.88万元，增长11.8%。主要变动原因是本年医院申请了650万元专项债，用于医院高质量发展。</w:t>
      </w:r>
    </w:p>
    <w:p w14:paraId="7113F6FC">
      <w:pPr>
        <w:topLinePunct/>
        <w:spacing w:line="540" w:lineRule="exact"/>
        <w:ind w:firstLine="632" w:firstLineChars="200"/>
        <w:jc w:val="center"/>
        <w:rPr>
          <w:rFonts w:hint="eastAsia" w:ascii="Times New Roman" w:hAnsi="Times New Roman" w:eastAsia="方正仿宋_GBK" w:cs="Times New Roman"/>
          <w:color w:val="000000"/>
        </w:rPr>
      </w:pPr>
      <w:r>
        <w:rPr>
          <w:rFonts w:hint="eastAsia" w:ascii="Times New Roman" w:hAnsi="Times New Roman" w:eastAsia="方正仿宋_GBK" w:cs="Times New Roman"/>
          <w:color w:val="000000"/>
        </w:rPr>
        <w:t>（图4：财政拨款收、支决算总计变动情况）（柱状图）</w:t>
      </w:r>
    </w:p>
    <w:p w14:paraId="3DFCFFBD">
      <w:pPr>
        <w:topLinePunct/>
        <w:spacing w:line="540" w:lineRule="exact"/>
        <w:ind w:firstLine="632" w:firstLineChars="200"/>
        <w:jc w:val="center"/>
        <w:rPr>
          <w:rFonts w:eastAsia="方正仿宋_GBK"/>
          <w:color w:val="000000"/>
        </w:rPr>
      </w:pPr>
    </w:p>
    <w:p w14:paraId="582DD868">
      <w:pPr>
        <w:topLinePunct/>
        <w:spacing w:line="540" w:lineRule="exact"/>
        <w:ind w:firstLine="640"/>
        <w:rPr>
          <w:rFonts w:eastAsia="方正仿宋_GBK"/>
          <w:b/>
          <w:bCs/>
          <w:color w:val="00B050"/>
        </w:rPr>
      </w:pPr>
    </w:p>
    <w:p w14:paraId="27D924B5">
      <w:pPr>
        <w:topLinePunct/>
        <w:spacing w:line="540" w:lineRule="exact"/>
        <w:ind w:firstLine="640"/>
        <w:rPr>
          <w:rFonts w:eastAsia="方正仿宋_GBK"/>
          <w:b/>
          <w:bCs/>
          <w:color w:val="00B050"/>
        </w:rPr>
      </w:pPr>
    </w:p>
    <w:p w14:paraId="1540A0DB">
      <w:pPr>
        <w:topLinePunct/>
        <w:spacing w:line="540" w:lineRule="exact"/>
        <w:ind w:firstLine="640"/>
        <w:rPr>
          <w:rFonts w:eastAsia="方正仿宋_GBK"/>
          <w:b/>
          <w:bCs/>
          <w:color w:val="00B050"/>
        </w:rPr>
      </w:pPr>
    </w:p>
    <w:p w14:paraId="1A8713BE">
      <w:pPr>
        <w:topLinePunct/>
        <w:spacing w:line="540" w:lineRule="exact"/>
        <w:ind w:firstLine="640"/>
        <w:rPr>
          <w:rFonts w:eastAsia="方正仿宋_GBK"/>
          <w:b/>
          <w:bCs/>
          <w:color w:val="00B050"/>
        </w:rPr>
      </w:pPr>
    </w:p>
    <w:p w14:paraId="075BF930">
      <w:pPr>
        <w:topLinePunct/>
        <w:spacing w:line="540" w:lineRule="exact"/>
        <w:ind w:firstLine="640"/>
        <w:rPr>
          <w:rFonts w:eastAsia="方正仿宋_GBK"/>
          <w:b/>
          <w:bCs/>
          <w:color w:val="00B050"/>
        </w:rPr>
      </w:pPr>
    </w:p>
    <w:p w14:paraId="4EC287AA">
      <w:pPr>
        <w:topLinePunct/>
        <w:spacing w:line="540" w:lineRule="exact"/>
        <w:ind w:firstLine="640"/>
        <w:rPr>
          <w:rFonts w:ascii="方正黑体_GBK" w:eastAsia="方正黑体_GBK"/>
          <w:color w:val="000000"/>
        </w:rPr>
      </w:pPr>
      <w:r>
        <w:drawing>
          <wp:anchor distT="0" distB="0" distL="114300" distR="114300" simplePos="0" relativeHeight="251662336" behindDoc="0" locked="0" layoutInCell="1" allowOverlap="1">
            <wp:simplePos x="0" y="0"/>
            <wp:positionH relativeFrom="column">
              <wp:posOffset>410845</wp:posOffset>
            </wp:positionH>
            <wp:positionV relativeFrom="paragraph">
              <wp:posOffset>-1892935</wp:posOffset>
            </wp:positionV>
            <wp:extent cx="4372610" cy="2161540"/>
            <wp:effectExtent l="4445" t="4445" r="23495" b="5715"/>
            <wp:wrapSquare wrapText="bothSides"/>
            <wp:docPr id="102495"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16" w:name="_Toc143699693"/>
      <w:bookmarkStart w:id="17" w:name="_Toc15377209"/>
    </w:p>
    <w:p w14:paraId="7FD275DB">
      <w:pPr>
        <w:topLinePunct/>
        <w:spacing w:line="540" w:lineRule="exact"/>
        <w:ind w:firstLine="632" w:firstLineChars="200"/>
        <w:outlineLvl w:val="1"/>
        <w:rPr>
          <w:rFonts w:ascii="方正黑体_GBK" w:eastAsia="方正黑体_GBK"/>
          <w:color w:val="000000"/>
        </w:rPr>
      </w:pPr>
    </w:p>
    <w:p w14:paraId="6F46946C">
      <w:pPr>
        <w:spacing w:line="600" w:lineRule="exact"/>
        <w:ind w:firstLine="632" w:firstLineChars="200"/>
        <w:outlineLvl w:val="1"/>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五、一般公共预算财政拨款支出决算情况说明</w:t>
      </w:r>
      <w:bookmarkEnd w:id="16"/>
      <w:bookmarkEnd w:id="17"/>
    </w:p>
    <w:p w14:paraId="2A513D11">
      <w:pPr>
        <w:topLinePunct/>
        <w:spacing w:line="540" w:lineRule="exact"/>
        <w:ind w:firstLine="632" w:firstLineChars="200"/>
        <w:outlineLvl w:val="2"/>
        <w:rPr>
          <w:rFonts w:hint="eastAsia" w:ascii="方正楷体_GBK" w:hAnsi="Times New Roman" w:eastAsia="方正楷体_GBK" w:cs="Times New Roman"/>
          <w:bCs/>
          <w:color w:val="000000"/>
        </w:rPr>
      </w:pPr>
      <w:bookmarkStart w:id="18" w:name="_Toc15377210"/>
      <w:bookmarkStart w:id="19" w:name="OLE_LINK2"/>
      <w:r>
        <w:rPr>
          <w:rFonts w:hint="eastAsia" w:ascii="方正楷体_GBK" w:hAnsi="Times New Roman" w:eastAsia="方正楷体_GBK" w:cs="Times New Roman"/>
          <w:bCs/>
          <w:color w:val="000000"/>
        </w:rPr>
        <w:t>（一）一般公共预算财政拨款支出决算总体情况</w:t>
      </w:r>
      <w:bookmarkEnd w:id="18"/>
    </w:p>
    <w:bookmarkEnd w:id="19"/>
    <w:p w14:paraId="62678781">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2024年度一般公共预算财政拨款支出2025.01万元，占本年支出合计的14.4%。与2023年度相比，一般公共预算财政拨款支出减少368.12万元，下降15.4%。主要变动原因是本年财政减少了一次性绩效工资总量投入。</w:t>
      </w:r>
    </w:p>
    <w:p w14:paraId="0587DBD8">
      <w:pPr>
        <w:topLinePunct/>
        <w:spacing w:line="540" w:lineRule="exact"/>
        <w:ind w:firstLine="632" w:firstLineChars="200"/>
        <w:rPr>
          <w:rFonts w:hint="eastAsia" w:ascii="Times New Roman" w:hAnsi="Times New Roman" w:eastAsia="方正仿宋_GBK" w:cs="Times New Roman"/>
          <w:color w:val="000000"/>
        </w:rPr>
      </w:pPr>
      <w:r>
        <w:rPr>
          <w:rFonts w:hint="eastAsia" w:ascii="Times New Roman" w:hAnsi="Times New Roman" w:eastAsia="方正仿宋_GBK" w:cs="Times New Roman"/>
          <w:color w:val="000000"/>
        </w:rPr>
        <w:t>（图5：一般公共预算财政拨款支出决算变动情况）（柱状图）</w:t>
      </w:r>
    </w:p>
    <w:p w14:paraId="3FEF83CD">
      <w:pPr>
        <w:pStyle w:val="26"/>
        <w:rPr>
          <w:rFonts w:hint="eastAsia"/>
        </w:rPr>
      </w:pPr>
    </w:p>
    <w:p w14:paraId="22185211">
      <w:pPr>
        <w:topLinePunct/>
        <w:spacing w:line="540" w:lineRule="exact"/>
        <w:rPr>
          <w:rFonts w:eastAsia="方正仿宋_GBK"/>
          <w:color w:val="000000"/>
        </w:rPr>
      </w:pPr>
    </w:p>
    <w:p w14:paraId="413563B0">
      <w:pPr>
        <w:topLinePunct/>
        <w:spacing w:line="540" w:lineRule="exact"/>
      </w:pPr>
      <w:r>
        <w:drawing>
          <wp:anchor distT="0" distB="0" distL="114300" distR="114300" simplePos="0" relativeHeight="251663360" behindDoc="0" locked="0" layoutInCell="1" allowOverlap="1">
            <wp:simplePos x="0" y="0"/>
            <wp:positionH relativeFrom="column">
              <wp:posOffset>386715</wp:posOffset>
            </wp:positionH>
            <wp:positionV relativeFrom="paragraph">
              <wp:posOffset>212090</wp:posOffset>
            </wp:positionV>
            <wp:extent cx="4210685" cy="1991360"/>
            <wp:effectExtent l="4445" t="4445" r="13970" b="23495"/>
            <wp:wrapSquare wrapText="bothSides"/>
            <wp:docPr id="102496"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20" w:name="_Toc15377211"/>
    </w:p>
    <w:p w14:paraId="39E7045B">
      <w:pPr>
        <w:pStyle w:val="26"/>
      </w:pPr>
    </w:p>
    <w:p w14:paraId="1D57434D">
      <w:pPr>
        <w:topLinePunct/>
        <w:spacing w:line="540" w:lineRule="exact"/>
        <w:ind w:firstLine="632" w:firstLineChars="200"/>
        <w:outlineLvl w:val="2"/>
        <w:rPr>
          <w:rFonts w:ascii="方正楷体_GBK" w:eastAsia="方正楷体_GBK"/>
          <w:bCs/>
          <w:color w:val="000000"/>
        </w:rPr>
      </w:pPr>
    </w:p>
    <w:p w14:paraId="0DD4AD4D">
      <w:pPr>
        <w:topLinePunct/>
        <w:spacing w:line="540" w:lineRule="exact"/>
        <w:ind w:firstLine="632" w:firstLineChars="200"/>
        <w:outlineLvl w:val="2"/>
        <w:rPr>
          <w:rFonts w:ascii="方正楷体_GBK" w:eastAsia="方正楷体_GBK"/>
          <w:bCs/>
          <w:color w:val="000000"/>
        </w:rPr>
      </w:pPr>
    </w:p>
    <w:p w14:paraId="569EA74D">
      <w:pPr>
        <w:topLinePunct/>
        <w:spacing w:line="540" w:lineRule="exact"/>
        <w:ind w:firstLine="632" w:firstLineChars="200"/>
        <w:outlineLvl w:val="2"/>
        <w:rPr>
          <w:rFonts w:ascii="方正楷体_GBK" w:eastAsia="方正楷体_GBK"/>
          <w:bCs/>
          <w:color w:val="000000"/>
        </w:rPr>
      </w:pPr>
    </w:p>
    <w:p w14:paraId="1411BF2C">
      <w:pPr>
        <w:topLinePunct/>
        <w:spacing w:line="540" w:lineRule="exact"/>
        <w:ind w:firstLine="632" w:firstLineChars="200"/>
        <w:outlineLvl w:val="2"/>
        <w:rPr>
          <w:rFonts w:ascii="方正楷体_GBK" w:eastAsia="方正楷体_GBK"/>
          <w:bCs/>
          <w:color w:val="000000"/>
        </w:rPr>
      </w:pPr>
    </w:p>
    <w:p w14:paraId="331145A9">
      <w:pPr>
        <w:topLinePunct/>
        <w:spacing w:line="540" w:lineRule="exact"/>
        <w:ind w:firstLine="632" w:firstLineChars="200"/>
        <w:outlineLvl w:val="2"/>
        <w:rPr>
          <w:rFonts w:ascii="方正楷体_GBK" w:eastAsia="方正楷体_GBK"/>
          <w:bCs/>
          <w:color w:val="000000"/>
        </w:rPr>
      </w:pPr>
    </w:p>
    <w:p w14:paraId="4773AC50">
      <w:pPr>
        <w:topLinePunct/>
        <w:spacing w:line="540" w:lineRule="exact"/>
        <w:ind w:firstLine="632" w:firstLineChars="200"/>
        <w:outlineLvl w:val="2"/>
        <w:rPr>
          <w:rFonts w:ascii="方正楷体_GBK" w:eastAsia="方正楷体_GBK"/>
          <w:bCs/>
          <w:color w:val="000000"/>
        </w:rPr>
      </w:pPr>
    </w:p>
    <w:p w14:paraId="0552BCA7">
      <w:pPr>
        <w:topLinePunct/>
        <w:spacing w:line="540" w:lineRule="exact"/>
        <w:ind w:firstLine="632" w:firstLineChars="200"/>
        <w:outlineLvl w:val="2"/>
        <w:rPr>
          <w:rFonts w:hint="eastAsia" w:ascii="方正楷体_GBK" w:hAnsi="Times New Roman" w:eastAsia="方正楷体_GBK" w:cs="Times New Roman"/>
          <w:bCs/>
          <w:color w:val="000000"/>
        </w:rPr>
      </w:pPr>
      <w:r>
        <w:rPr>
          <w:rFonts w:hint="eastAsia" w:ascii="方正楷体_GBK" w:hAnsi="Times New Roman" w:eastAsia="方正楷体_GBK" w:cs="Times New Roman"/>
          <w:bCs/>
          <w:color w:val="000000"/>
        </w:rPr>
        <w:t>（二）一般公共预算财政拨款支出决算结构情况</w:t>
      </w:r>
      <w:bookmarkEnd w:id="20"/>
    </w:p>
    <w:p w14:paraId="6D2F72DF">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2024年度一般公共预算财政拨款支出2025.01万元，主要用于以下方面:卫生健康支出2018.51万元，占99.7%；其他支出6.5万元，占0.3%。</w:t>
      </w:r>
    </w:p>
    <w:p w14:paraId="532AF316">
      <w:pPr>
        <w:topLinePunct/>
        <w:spacing w:line="540" w:lineRule="exact"/>
        <w:ind w:firstLine="632" w:firstLineChars="200"/>
        <w:rPr>
          <w:rFonts w:hint="eastAsia" w:ascii="Times New Roman" w:hAnsi="Times New Roman" w:eastAsia="方正仿宋_GBK" w:cs="Times New Roman"/>
          <w:color w:val="000000"/>
        </w:rPr>
      </w:pPr>
      <w:r>
        <w:rPr>
          <w:rFonts w:ascii="Times New Roman" w:hAnsi="Times New Roman" w:eastAsia="方正仿宋_GBK" w:cs="Times New Roman"/>
          <w:color w:val="000000"/>
        </w:rPr>
        <w:drawing>
          <wp:anchor distT="0" distB="0" distL="114300" distR="114300" simplePos="0" relativeHeight="251664384" behindDoc="0" locked="0" layoutInCell="1" allowOverlap="1">
            <wp:simplePos x="0" y="0"/>
            <wp:positionH relativeFrom="column">
              <wp:posOffset>109220</wp:posOffset>
            </wp:positionH>
            <wp:positionV relativeFrom="paragraph">
              <wp:posOffset>466725</wp:posOffset>
            </wp:positionV>
            <wp:extent cx="4134485" cy="2830830"/>
            <wp:effectExtent l="4445" t="4445" r="13970" b="22225"/>
            <wp:wrapSquare wrapText="bothSides"/>
            <wp:docPr id="102497"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方正仿宋_GBK" w:cs="Times New Roman"/>
          <w:color w:val="000000"/>
        </w:rPr>
        <w:t>（图6：一般公共预算财政拨款支出决算结构）（饼状图）</w:t>
      </w:r>
    </w:p>
    <w:p w14:paraId="172FDBD3">
      <w:pPr>
        <w:topLinePunct/>
        <w:spacing w:line="540" w:lineRule="exact"/>
      </w:pPr>
    </w:p>
    <w:p w14:paraId="2AEF53DE">
      <w:pPr>
        <w:topLinePunct/>
        <w:spacing w:line="540" w:lineRule="exact"/>
      </w:pPr>
    </w:p>
    <w:p w14:paraId="61CC2951">
      <w:pPr>
        <w:topLinePunct/>
        <w:spacing w:line="540" w:lineRule="exact"/>
        <w:rPr>
          <w:rFonts w:eastAsia="方正仿宋_GBK"/>
          <w:color w:val="000000"/>
        </w:rPr>
      </w:pPr>
    </w:p>
    <w:p w14:paraId="2C24D9B8">
      <w:pPr>
        <w:topLinePunct/>
        <w:spacing w:line="540" w:lineRule="exact"/>
        <w:ind w:firstLine="632" w:firstLineChars="200"/>
        <w:outlineLvl w:val="2"/>
        <w:rPr>
          <w:rFonts w:ascii="方正楷体_GBK" w:eastAsia="方正楷体_GBK"/>
          <w:bCs/>
          <w:color w:val="000000"/>
        </w:rPr>
      </w:pPr>
      <w:bookmarkStart w:id="21" w:name="_Toc15377212"/>
    </w:p>
    <w:p w14:paraId="15EDEF37">
      <w:pPr>
        <w:topLinePunct/>
        <w:spacing w:line="540" w:lineRule="exact"/>
        <w:ind w:firstLine="632" w:firstLineChars="200"/>
        <w:outlineLvl w:val="2"/>
        <w:rPr>
          <w:rFonts w:ascii="方正楷体_GBK" w:eastAsia="方正楷体_GBK"/>
          <w:bCs/>
          <w:color w:val="000000"/>
        </w:rPr>
      </w:pPr>
    </w:p>
    <w:p w14:paraId="4F74FF04">
      <w:pPr>
        <w:topLinePunct/>
        <w:spacing w:line="540" w:lineRule="exact"/>
        <w:ind w:firstLine="632" w:firstLineChars="200"/>
        <w:outlineLvl w:val="2"/>
        <w:rPr>
          <w:rFonts w:ascii="方正楷体_GBK" w:eastAsia="方正楷体_GBK"/>
          <w:bCs/>
          <w:color w:val="000000"/>
        </w:rPr>
      </w:pPr>
    </w:p>
    <w:p w14:paraId="0AEB5A26">
      <w:pPr>
        <w:topLinePunct/>
        <w:spacing w:line="540" w:lineRule="exact"/>
        <w:ind w:firstLine="632" w:firstLineChars="200"/>
        <w:outlineLvl w:val="2"/>
        <w:rPr>
          <w:rFonts w:ascii="方正楷体_GBK" w:eastAsia="方正楷体_GBK"/>
          <w:bCs/>
          <w:color w:val="000000"/>
        </w:rPr>
      </w:pPr>
    </w:p>
    <w:p w14:paraId="4652ABF3">
      <w:pPr>
        <w:topLinePunct/>
        <w:spacing w:line="540" w:lineRule="exact"/>
        <w:ind w:firstLine="632" w:firstLineChars="200"/>
        <w:outlineLvl w:val="2"/>
        <w:rPr>
          <w:rFonts w:ascii="方正楷体_GBK" w:eastAsia="方正楷体_GBK"/>
          <w:bCs/>
          <w:color w:val="000000"/>
        </w:rPr>
      </w:pPr>
    </w:p>
    <w:p w14:paraId="6A87C0DC">
      <w:pPr>
        <w:topLinePunct/>
        <w:spacing w:line="540" w:lineRule="exact"/>
        <w:ind w:firstLine="632" w:firstLineChars="200"/>
        <w:outlineLvl w:val="2"/>
        <w:rPr>
          <w:rFonts w:ascii="方正楷体_GBK" w:eastAsia="方正楷体_GBK"/>
          <w:bCs/>
          <w:color w:val="000000"/>
        </w:rPr>
      </w:pPr>
    </w:p>
    <w:p w14:paraId="02C8836F">
      <w:pPr>
        <w:topLinePunct/>
        <w:spacing w:line="540" w:lineRule="exact"/>
        <w:ind w:firstLine="632" w:firstLineChars="200"/>
        <w:outlineLvl w:val="2"/>
        <w:rPr>
          <w:rFonts w:ascii="方正楷体_GBK" w:eastAsia="方正楷体_GBK"/>
          <w:bCs/>
          <w:color w:val="000000"/>
        </w:rPr>
      </w:pPr>
    </w:p>
    <w:p w14:paraId="2A966756">
      <w:pPr>
        <w:topLinePunct/>
        <w:spacing w:line="540" w:lineRule="exact"/>
        <w:ind w:firstLine="632" w:firstLineChars="200"/>
        <w:outlineLvl w:val="2"/>
        <w:rPr>
          <w:rFonts w:hint="eastAsia" w:ascii="方正楷体_GBK" w:hAnsi="Times New Roman" w:eastAsia="方正楷体_GBK" w:cs="Times New Roman"/>
          <w:bCs/>
          <w:color w:val="000000"/>
        </w:rPr>
      </w:pPr>
      <w:r>
        <w:rPr>
          <w:rFonts w:hint="eastAsia" w:ascii="方正楷体_GBK" w:hAnsi="Times New Roman" w:eastAsia="方正楷体_GBK" w:cs="Times New Roman"/>
          <w:bCs/>
          <w:color w:val="000000"/>
        </w:rPr>
        <w:t>（三）一般公共预算财政拨款支出决算具体情况</w:t>
      </w:r>
      <w:bookmarkEnd w:id="21"/>
    </w:p>
    <w:p w14:paraId="2135A7A3">
      <w:pPr>
        <w:topLinePunct/>
        <w:spacing w:line="540" w:lineRule="exact"/>
        <w:ind w:firstLine="632" w:firstLineChars="200"/>
        <w:rPr>
          <w:rFonts w:hint="eastAsia" w:ascii="Times New Roman" w:hAnsi="Times New Roman" w:eastAsia="方正仿宋_GBK" w:cs="Times New Roman"/>
          <w:color w:val="000000"/>
          <w:lang w:val="en-US" w:eastAsia="zh-CN"/>
        </w:rPr>
      </w:pPr>
      <w:bookmarkStart w:id="22" w:name="_Toc15378460"/>
      <w:bookmarkStart w:id="23" w:name="_Toc15377444"/>
      <w:bookmarkStart w:id="24" w:name="_Toc15377213"/>
      <w:r>
        <w:rPr>
          <w:rFonts w:hint="eastAsia" w:ascii="Times New Roman" w:hAnsi="Times New Roman" w:eastAsia="方正仿宋_GBK" w:cs="Times New Roman"/>
          <w:color w:val="000000"/>
          <w:lang w:val="en-US" w:eastAsia="zh-CN"/>
        </w:rPr>
        <w:t>2024年度一般公共预算支出决算数为2025.01万元，完成预算99.98%。其中：</w:t>
      </w:r>
      <w:bookmarkEnd w:id="22"/>
      <w:bookmarkEnd w:id="23"/>
      <w:bookmarkEnd w:id="24"/>
    </w:p>
    <w:p w14:paraId="0FEE5371">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1.2100199卫生健康支出（类）卫生健康管理事务（款）其他卫生健康管理事务支出（项）:支出决算为1.41万元，完成预算100%，与预算数持平。</w:t>
      </w:r>
    </w:p>
    <w:p w14:paraId="01927631">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2.2100207卫生健康支出（类）公立医院（款）儿童医院（项）：支出决算为1338.37万元，完成预算99.9%，决算数小于预算数的主要原因是“医疗卫生岗志愿者待遇经费”财政项目完成预算96.5%。</w:t>
      </w:r>
    </w:p>
    <w:p w14:paraId="42047179">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3.2100299卫生健康支出（类）公立医院（款）其他公立医院支出（项）:支出决算为79.77万元，完成预算100%，与预算数持平。</w:t>
      </w:r>
    </w:p>
    <w:p w14:paraId="2F0B1F53">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4.2100408卫生健康支出（类）公共卫生（款）基本公共卫生服务（项）:支出决算为5.64万元，完成预算100%，与预算数持平。</w:t>
      </w:r>
    </w:p>
    <w:p w14:paraId="67B321AF">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5.2100409卫生健康支出（类）公共卫生（款）重大公共卫生服务（项）:支出决算为16.54万元，完成预算100%，与预算数持平。</w:t>
      </w:r>
    </w:p>
    <w:p w14:paraId="3066C8D0">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6.2100410卫生健康支出（类）公共卫生（款）突发公共卫生事件应急处理（项）:支出决算为430.54万元，完成预算100%，与预算数持平。</w:t>
      </w:r>
    </w:p>
    <w:p w14:paraId="57E11387">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7.2101103卫生健康支出（类）行政事业单位医疗（款）公务员医疗补助（项）:支出决算为13.62万元，完成预算98%，决算数小于预算数的主要原因是2024年在编人员购买公务员门诊为99人，小于预算的104人。</w:t>
      </w:r>
    </w:p>
    <w:p w14:paraId="121E6B4A">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8.2109999卫生健康支出（类）其他卫生健康支出（款）其他卫生健康支出（项）:支出决算为132.61万元，完成预算100%，与预算数持平。</w:t>
      </w:r>
    </w:p>
    <w:p w14:paraId="7A8C62E1">
      <w:pPr>
        <w:topLinePunct/>
        <w:spacing w:line="540" w:lineRule="exa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9.2299999其他支出（类）其他支出（款）其他支出（项）:支出决算为6.5万元，完成预算100%，与预算数持平。</w:t>
      </w:r>
    </w:p>
    <w:p w14:paraId="00D5C36A">
      <w:pPr>
        <w:topLinePunct/>
        <w:spacing w:line="540" w:lineRule="exact"/>
        <w:ind w:firstLine="632" w:firstLineChars="200"/>
        <w:outlineLvl w:val="1"/>
        <w:rPr>
          <w:rFonts w:hint="eastAsia" w:ascii="方正黑体_GBK" w:eastAsia="方正黑体_GBK"/>
          <w:color w:val="000000"/>
        </w:rPr>
      </w:pPr>
      <w:bookmarkStart w:id="25" w:name="_Toc143699694"/>
      <w:bookmarkStart w:id="26" w:name="_Toc15377214"/>
    </w:p>
    <w:p w14:paraId="1B39341A">
      <w:pPr>
        <w:tabs>
          <w:tab w:val="right" w:pos="8306"/>
        </w:tabs>
        <w:spacing w:line="600" w:lineRule="exact"/>
        <w:ind w:firstLine="640"/>
        <w:outlineLvl w:val="1"/>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六、一般公共预算财政拨款基本支出决算情况说明</w:t>
      </w:r>
      <w:bookmarkEnd w:id="25"/>
      <w:bookmarkEnd w:id="26"/>
      <w:r>
        <w:rPr>
          <w:rFonts w:hint="eastAsia" w:ascii="Times New Roman" w:hAnsi="Times New Roman" w:eastAsia="黑体"/>
          <w:color w:val="auto"/>
          <w:sz w:val="32"/>
          <w:szCs w:val="32"/>
          <w:highlight w:val="none"/>
        </w:rPr>
        <w:tab/>
      </w:r>
    </w:p>
    <w:p w14:paraId="7DCE7EEE">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2024年度一般公共预算财政拨款基本支出889.3万元，其中：</w:t>
      </w:r>
    </w:p>
    <w:p w14:paraId="18606500">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人员经费889.3万元，主要包括：基本工资875.68万元、公务员医疗补助缴费13.62万元。</w:t>
      </w:r>
    </w:p>
    <w:p w14:paraId="5E6F9BFF">
      <w:pPr>
        <w:topLinePunct/>
        <w:spacing w:line="540" w:lineRule="exact"/>
        <w:ind w:firstLine="645"/>
        <w:rPr>
          <w:rFonts w:hint="eastAsia" w:ascii="Times New Roman" w:hAnsi="Times New Roman" w:eastAsia="方正仿宋_GBK" w:cs="Times New Roman"/>
          <w:color w:val="000000"/>
        </w:rPr>
      </w:pPr>
      <w:bookmarkStart w:id="27" w:name="_Toc143699695"/>
      <w:bookmarkStart w:id="28" w:name="_Toc15377215"/>
    </w:p>
    <w:p w14:paraId="06714405">
      <w:pPr>
        <w:spacing w:line="600" w:lineRule="exact"/>
        <w:ind w:firstLine="640"/>
        <w:outlineLvl w:val="1"/>
        <w:rPr>
          <w:rFonts w:hint="eastAsia"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七、财政拨款“三公”经费支出决算情况说明</w:t>
      </w:r>
      <w:bookmarkEnd w:id="27"/>
      <w:bookmarkEnd w:id="28"/>
    </w:p>
    <w:p w14:paraId="1C5FEAFC">
      <w:pPr>
        <w:topLinePunct/>
        <w:spacing w:line="540" w:lineRule="exact"/>
        <w:ind w:firstLine="640"/>
        <w:outlineLvl w:val="2"/>
        <w:rPr>
          <w:rFonts w:hint="eastAsia" w:ascii="方正楷体_GBK" w:hAnsi="Times New Roman" w:eastAsia="方正楷体_GBK" w:cs="Times New Roman"/>
          <w:bCs/>
          <w:color w:val="000000"/>
        </w:rPr>
      </w:pPr>
      <w:bookmarkStart w:id="29" w:name="_Toc15377216"/>
      <w:r>
        <w:rPr>
          <w:rFonts w:hint="eastAsia" w:ascii="方正楷体_GBK" w:hAnsi="Times New Roman" w:eastAsia="方正楷体_GBK" w:cs="Times New Roman"/>
          <w:bCs/>
          <w:color w:val="000000"/>
        </w:rPr>
        <w:t>（一）“三公”经费财政拨款支出决算总体情况说明</w:t>
      </w:r>
      <w:bookmarkEnd w:id="29"/>
    </w:p>
    <w:p w14:paraId="59B77FD7">
      <w:pPr>
        <w:topLinePunct/>
        <w:spacing w:line="540" w:lineRule="exact"/>
        <w:ind w:firstLine="645"/>
        <w:rPr>
          <w:rFonts w:hint="eastAsia" w:ascii="Times New Roman" w:hAnsi="Times New Roman" w:eastAsia="方正仿宋_GBK" w:cs="Times New Roman"/>
          <w:color w:val="000000"/>
          <w:lang w:val="en-US" w:eastAsia="zh-CN"/>
        </w:rPr>
      </w:pPr>
      <w:bookmarkStart w:id="30" w:name="_Toc15377217"/>
      <w:r>
        <w:rPr>
          <w:rFonts w:hint="eastAsia" w:ascii="Times New Roman" w:hAnsi="Times New Roman" w:eastAsia="方正仿宋_GBK" w:cs="Times New Roman"/>
          <w:color w:val="000000"/>
          <w:lang w:val="en-US" w:eastAsia="zh-CN"/>
        </w:rPr>
        <w:t>2024年度“三公”经费财政拨款支出预算为0万元，决算为0万元，完成预算的0%，决算数与预算数持平。2024年度“三公”经费支出决算较上年增加/减少0万元，增长/下降0%，主要原因是无此项预算。</w:t>
      </w:r>
    </w:p>
    <w:p w14:paraId="1771B7AF">
      <w:pPr>
        <w:topLinePunct/>
        <w:spacing w:line="540" w:lineRule="exact"/>
        <w:ind w:firstLine="640"/>
        <w:outlineLvl w:val="2"/>
        <w:rPr>
          <w:rFonts w:hint="eastAsia" w:ascii="方正楷体_GBK" w:hAnsi="Times New Roman" w:eastAsia="方正楷体_GBK" w:cs="Times New Roman"/>
          <w:bCs/>
          <w:color w:val="000000"/>
        </w:rPr>
      </w:pPr>
      <w:r>
        <w:rPr>
          <w:rFonts w:hint="eastAsia" w:ascii="方正楷体_GBK" w:hAnsi="Times New Roman" w:eastAsia="方正楷体_GBK" w:cs="Times New Roman"/>
          <w:bCs/>
          <w:color w:val="000000"/>
        </w:rPr>
        <w:t>（二）“三公”经费财政拨款支出决算具体情况说明</w:t>
      </w:r>
      <w:bookmarkEnd w:id="30"/>
    </w:p>
    <w:p w14:paraId="2C349DE4">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2024年度“三公”经费财政拨款支出决算中，</w:t>
      </w:r>
      <w:bookmarkStart w:id="31" w:name="OLE_LINK3"/>
      <w:r>
        <w:rPr>
          <w:rFonts w:hint="eastAsia" w:ascii="Times New Roman" w:hAnsi="Times New Roman" w:eastAsia="方正仿宋_GBK" w:cs="Times New Roman"/>
          <w:color w:val="000000"/>
          <w:lang w:val="en-US" w:eastAsia="zh-CN"/>
        </w:rPr>
        <w:t>因公出国（境）费支出</w:t>
      </w:r>
      <w:bookmarkEnd w:id="31"/>
      <w:r>
        <w:rPr>
          <w:rFonts w:hint="eastAsia" w:ascii="Times New Roman" w:hAnsi="Times New Roman" w:eastAsia="方正仿宋_GBK" w:cs="Times New Roman"/>
          <w:color w:val="000000"/>
          <w:lang w:val="en-US" w:eastAsia="zh-CN"/>
        </w:rPr>
        <w:t>决算0万元，占0%；</w:t>
      </w:r>
      <w:bookmarkStart w:id="32" w:name="OLE_LINK4"/>
      <w:r>
        <w:rPr>
          <w:rFonts w:hint="eastAsia" w:ascii="Times New Roman" w:hAnsi="Times New Roman" w:eastAsia="方正仿宋_GBK" w:cs="Times New Roman"/>
          <w:color w:val="000000"/>
          <w:lang w:val="en-US" w:eastAsia="zh-CN"/>
        </w:rPr>
        <w:t>公务用车购置及运行维护费支出</w:t>
      </w:r>
      <w:bookmarkEnd w:id="32"/>
      <w:r>
        <w:rPr>
          <w:rFonts w:hint="eastAsia" w:ascii="Times New Roman" w:hAnsi="Times New Roman" w:eastAsia="方正仿宋_GBK" w:cs="Times New Roman"/>
          <w:color w:val="000000"/>
          <w:lang w:val="en-US" w:eastAsia="zh-CN"/>
        </w:rPr>
        <w:t>决算0万元，占0%；公务接待费支出决算0万元，占0%。具体情况如下：</w:t>
      </w:r>
    </w:p>
    <w:p w14:paraId="296A2EE1">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（图7：“三公”经费财政拨款支出结构）（饼状图）</w:t>
      </w:r>
    </w:p>
    <w:p w14:paraId="5A2EBA3B">
      <w:pPr>
        <w:topLinePunct/>
        <w:spacing w:line="540" w:lineRule="exact"/>
        <w:ind w:firstLine="640"/>
        <w:rPr>
          <w:rFonts w:ascii="方正仿宋_GBK" w:eastAsia="方正仿宋_GBK"/>
          <w:color w:val="000000" w:themeColor="text1"/>
        </w:rPr>
      </w:pPr>
      <w:r>
        <w:drawing>
          <wp:anchor distT="0" distB="0" distL="114300" distR="114300" simplePos="0" relativeHeight="251665408" behindDoc="0" locked="0" layoutInCell="1" allowOverlap="1">
            <wp:simplePos x="0" y="0"/>
            <wp:positionH relativeFrom="column">
              <wp:posOffset>429895</wp:posOffset>
            </wp:positionH>
            <wp:positionV relativeFrom="paragraph">
              <wp:posOffset>60960</wp:posOffset>
            </wp:positionV>
            <wp:extent cx="4826000" cy="2743200"/>
            <wp:effectExtent l="4445" t="4445" r="8255" b="14605"/>
            <wp:wrapTopAndBottom/>
            <wp:docPr id="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6104ADF">
      <w:pPr>
        <w:topLinePunct/>
        <w:spacing w:line="540" w:lineRule="exact"/>
        <w:ind w:firstLine="645"/>
        <w:rPr>
          <w:rFonts w:hint="eastAsia" w:ascii="Times New Roman" w:hAnsi="Times New Roman" w:eastAsia="方正仿宋_GBK" w:cs="Times New Roman"/>
          <w:color w:val="000000"/>
          <w:lang w:val="en-US" w:eastAsia="zh-CN"/>
        </w:rPr>
      </w:pPr>
      <w:bookmarkStart w:id="33" w:name="OLE_LINK5"/>
      <w:bookmarkStart w:id="34" w:name="_Toc143699696"/>
      <w:bookmarkStart w:id="35" w:name="_Toc15377218"/>
      <w:r>
        <w:rPr>
          <w:rFonts w:hint="eastAsia" w:ascii="方正仿宋_GBK" w:eastAsia="方正仿宋_GBK"/>
          <w:b/>
          <w:bCs/>
          <w:color w:val="000000" w:themeColor="text1"/>
        </w:rPr>
        <w:t>1.因公出国（境）费</w:t>
      </w:r>
      <w:r>
        <w:rPr>
          <w:rFonts w:hint="eastAsia" w:ascii="Times New Roman" w:hAnsi="Times New Roman" w:eastAsia="方正仿宋_GBK" w:cs="Times New Roman"/>
          <w:color w:val="000000"/>
          <w:lang w:val="en-US" w:eastAsia="zh-CN"/>
        </w:rPr>
        <w:t>预算为0万元，</w:t>
      </w:r>
      <w:bookmarkEnd w:id="33"/>
      <w:r>
        <w:rPr>
          <w:rFonts w:hint="eastAsia" w:ascii="Times New Roman" w:hAnsi="Times New Roman" w:eastAsia="方正仿宋_GBK" w:cs="Times New Roman"/>
          <w:color w:val="000000"/>
          <w:lang w:val="en-US" w:eastAsia="zh-CN"/>
        </w:rPr>
        <w:t>支出决算为0万元，完成预算的0%，决算数与预算数持平。因公出国（境）费支出决算较上年增加/减少0万元，增长/下降0%，主要原因是无此项预算。全年安排因公出国（境）团组0个，因公出国（境）0人次。</w:t>
      </w:r>
    </w:p>
    <w:p w14:paraId="6F753B52">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开支内容包括：无（团组名称、出访地点、取得成效）等。</w:t>
      </w:r>
    </w:p>
    <w:p w14:paraId="21EAB5FC">
      <w:pPr>
        <w:topLinePunct/>
        <w:spacing w:line="540" w:lineRule="exact"/>
        <w:ind w:firstLine="640"/>
        <w:rPr>
          <w:rFonts w:hint="eastAsia" w:ascii="Times New Roman" w:hAnsi="Times New Roman" w:eastAsia="方正仿宋_GBK" w:cs="Times New Roman"/>
          <w:color w:val="000000"/>
          <w:lang w:val="en-US" w:eastAsia="zh-CN"/>
        </w:rPr>
      </w:pPr>
      <w:r>
        <w:rPr>
          <w:rFonts w:hint="eastAsia" w:ascii="方正仿宋_GBK" w:eastAsia="方正仿宋_GBK"/>
          <w:b/>
          <w:bCs/>
          <w:color w:val="000000" w:themeColor="text1"/>
        </w:rPr>
        <w:t>2.公务用车购置及运行维护费</w:t>
      </w:r>
      <w:r>
        <w:rPr>
          <w:rFonts w:hint="eastAsia" w:ascii="Times New Roman" w:hAnsi="Times New Roman" w:eastAsia="方正仿宋_GBK" w:cs="Times New Roman"/>
          <w:color w:val="000000"/>
          <w:lang w:val="en-US" w:eastAsia="zh-CN"/>
        </w:rPr>
        <w:t>预算为0万元，支出决算为0万元，完成预算的0%，决算数与预算数持平。公务用车购置及运行维护费支出决算较上年增加/减少0万元，增长/下降0%，主要原因是是无此项预算。其中：</w:t>
      </w:r>
    </w:p>
    <w:p w14:paraId="1CE49331">
      <w:pPr>
        <w:topLinePunct/>
        <w:spacing w:line="540" w:lineRule="exact"/>
        <w:ind w:firstLine="640"/>
        <w:rPr>
          <w:rFonts w:hint="eastAsia" w:ascii="Times New Roman" w:hAnsi="Times New Roman" w:eastAsia="方正仿宋_GBK" w:cs="Times New Roman"/>
          <w:color w:val="000000"/>
          <w:lang w:val="en-US" w:eastAsia="zh-CN"/>
        </w:rPr>
      </w:pPr>
      <w:r>
        <w:rPr>
          <w:rFonts w:hint="eastAsia" w:ascii="方正仿宋_GBK" w:eastAsia="方正仿宋_GBK"/>
          <w:b/>
          <w:bCs/>
          <w:color w:val="000000" w:themeColor="text1"/>
        </w:rPr>
        <w:t>公务用车购置费支出</w:t>
      </w:r>
      <w:r>
        <w:rPr>
          <w:rFonts w:hint="eastAsia" w:ascii="Times New Roman" w:hAnsi="Times New Roman" w:eastAsia="方正仿宋_GBK" w:cs="Times New Roman"/>
          <w:color w:val="000000"/>
          <w:lang w:val="en-US" w:eastAsia="zh-CN"/>
        </w:rPr>
        <w:t>0万元，全年按规定更新购置公务用车0辆，主要用于无。截至2024年12月31日，本单位开支财政拨款的公务用车保有量为0辆。</w:t>
      </w:r>
    </w:p>
    <w:p w14:paraId="000480DB">
      <w:pPr>
        <w:topLinePunct/>
        <w:spacing w:line="540" w:lineRule="exact"/>
        <w:ind w:firstLine="640"/>
        <w:rPr>
          <w:rFonts w:hint="eastAsia" w:ascii="Times New Roman" w:hAnsi="Times New Roman" w:eastAsia="方正仿宋_GBK" w:cs="Times New Roman"/>
          <w:color w:val="000000"/>
          <w:lang w:val="en-US" w:eastAsia="zh-CN"/>
        </w:rPr>
      </w:pPr>
      <w:r>
        <w:rPr>
          <w:rFonts w:hint="eastAsia" w:ascii="方正仿宋_GBK" w:eastAsia="方正仿宋_GBK"/>
          <w:b/>
          <w:bCs/>
          <w:color w:val="000000" w:themeColor="text1"/>
        </w:rPr>
        <w:t>公务用车运行维护费支出</w:t>
      </w:r>
      <w:r>
        <w:rPr>
          <w:rFonts w:hint="eastAsia" w:ascii="Times New Roman" w:hAnsi="Times New Roman" w:eastAsia="方正仿宋_GBK" w:cs="Times New Roman"/>
          <w:color w:val="000000"/>
          <w:lang w:val="en-US" w:eastAsia="zh-CN"/>
        </w:rPr>
        <w:t>0万元。主要用于无（具体工作）等按规定保留的公务用车燃料费、维修费、过桥过路费、保险费等支出。</w:t>
      </w:r>
    </w:p>
    <w:p w14:paraId="1B98F6A2">
      <w:pPr>
        <w:topLinePunct/>
        <w:spacing w:line="540" w:lineRule="exact"/>
        <w:ind w:firstLine="640"/>
        <w:rPr>
          <w:rFonts w:hint="eastAsia" w:ascii="Times New Roman" w:hAnsi="Times New Roman" w:eastAsia="方正仿宋_GBK" w:cs="Times New Roman"/>
          <w:color w:val="000000"/>
          <w:lang w:val="en-US" w:eastAsia="zh-CN"/>
        </w:rPr>
      </w:pPr>
      <w:r>
        <w:rPr>
          <w:rFonts w:hint="eastAsia" w:ascii="方正仿宋_GBK" w:eastAsia="方正仿宋_GBK"/>
          <w:b/>
          <w:bCs/>
          <w:color w:val="000000" w:themeColor="text1"/>
        </w:rPr>
        <w:t>3.公务接待费</w:t>
      </w:r>
      <w:r>
        <w:rPr>
          <w:rFonts w:hint="eastAsia" w:ascii="Times New Roman" w:hAnsi="Times New Roman" w:eastAsia="方正仿宋_GBK" w:cs="Times New Roman"/>
          <w:color w:val="000000"/>
          <w:lang w:val="en-US" w:eastAsia="zh-CN"/>
        </w:rPr>
        <w:t>预算为0万元，支出决算为0万元，完成预算的0%，决算数与预算数持平。公务接待费支出决算较上年增加/减少0万元，增长/下降0%，主要原因是无此项预算。其中：</w:t>
      </w:r>
    </w:p>
    <w:p w14:paraId="340400E2">
      <w:pPr>
        <w:spacing w:line="600" w:lineRule="exact"/>
        <w:ind w:firstLine="640"/>
        <w:rPr>
          <w:rFonts w:hint="eastAsia" w:ascii="Times New Roman" w:hAnsi="Times New Roman" w:eastAsia="方正仿宋_GBK" w:cs="Times New Roman"/>
          <w:color w:val="000000"/>
          <w:lang w:val="en-US" w:eastAsia="zh-CN"/>
        </w:rPr>
      </w:pPr>
      <w:r>
        <w:rPr>
          <w:rFonts w:hint="eastAsia" w:ascii="方正仿宋_GBK" w:hAnsi="仿宋" w:eastAsia="方正仿宋_GBK"/>
          <w:b/>
          <w:color w:val="000000" w:themeColor="text1"/>
        </w:rPr>
        <w:t>国内公务接待支出</w:t>
      </w:r>
      <w:r>
        <w:rPr>
          <w:rFonts w:hint="eastAsia" w:ascii="Times New Roman" w:hAnsi="Times New Roman" w:eastAsia="方正仿宋_GBK" w:cs="Times New Roman"/>
          <w:color w:val="000000"/>
          <w:lang w:val="en-US" w:eastAsia="zh-CN"/>
        </w:rPr>
        <w:t>0万元，主要用于无(执行公务、开展业务活动开支的交通费、住宿费、用餐费等)。2024年度国内公务接待共计0批次，0人次（不包括陪同人员）。</w:t>
      </w:r>
    </w:p>
    <w:p w14:paraId="5658CBDA">
      <w:pPr>
        <w:numPr>
          <w:ilvl w:val="0"/>
          <w:numId w:val="0"/>
        </w:numPr>
        <w:topLinePunct/>
        <w:spacing w:line="540" w:lineRule="exact"/>
        <w:outlineLvl w:val="1"/>
        <w:rPr>
          <w:rFonts w:hint="eastAsia" w:ascii="Times New Roman" w:hAnsi="Times New Roman" w:eastAsia="方正仿宋_GBK" w:cs="Times New Roman"/>
          <w:color w:val="000000"/>
          <w:lang w:val="en-US" w:eastAsia="zh-CN"/>
        </w:rPr>
      </w:pPr>
      <w:r>
        <w:rPr>
          <w:rFonts w:hint="eastAsia" w:ascii="方正仿宋_GBK" w:hAnsi="仿宋" w:eastAsia="方正仿宋_GBK"/>
          <w:b/>
          <w:color w:val="000000" w:themeColor="text1"/>
        </w:rPr>
        <w:t>外事接待支出</w:t>
      </w:r>
      <w:r>
        <w:rPr>
          <w:rFonts w:hint="eastAsia" w:ascii="Times New Roman" w:hAnsi="Times New Roman" w:eastAsia="方正仿宋_GBK" w:cs="Times New Roman"/>
          <w:color w:val="000000"/>
          <w:lang w:val="en-US" w:eastAsia="zh-CN"/>
        </w:rPr>
        <w:t>2024年度本单位无外事接待支出。</w:t>
      </w:r>
    </w:p>
    <w:p w14:paraId="4FCFF941">
      <w:pPr>
        <w:spacing w:line="600" w:lineRule="exact"/>
        <w:ind w:firstLine="640"/>
        <w:outlineLvl w:val="1"/>
        <w:rPr>
          <w:rFonts w:hint="eastAsia" w:ascii="Times New Roman" w:hAnsi="Times New Roman" w:eastAsia="黑体"/>
          <w:color w:val="auto"/>
          <w:sz w:val="32"/>
          <w:szCs w:val="32"/>
          <w:highlight w:val="none"/>
        </w:rPr>
      </w:pPr>
      <w:r>
        <w:rPr>
          <w:rFonts w:hint="eastAsia" w:eastAsia="黑体"/>
          <w:color w:val="auto"/>
          <w:sz w:val="32"/>
          <w:szCs w:val="32"/>
          <w:highlight w:val="none"/>
          <w:lang w:val="en-US" w:eastAsia="zh-CN"/>
        </w:rPr>
        <w:t>八、</w:t>
      </w:r>
      <w:r>
        <w:rPr>
          <w:rFonts w:hint="eastAsia" w:ascii="Times New Roman" w:hAnsi="Times New Roman" w:eastAsia="黑体"/>
          <w:color w:val="auto"/>
          <w:sz w:val="32"/>
          <w:szCs w:val="32"/>
          <w:highlight w:val="none"/>
        </w:rPr>
        <w:t>政府性基金预算支出决算情况说明</w:t>
      </w:r>
      <w:bookmarkEnd w:id="34"/>
      <w:bookmarkEnd w:id="35"/>
    </w:p>
    <w:p w14:paraId="61CDE799">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2024年度政府性基金预算财政拨款支出650万元，占本年支出合计的4.61%。与2023年度相比，政府性基金预算财政拨款支出增加650万元。主要变动原因是本年医院申请了650万元专项债，用于医院高质量发展。</w:t>
      </w:r>
    </w:p>
    <w:p w14:paraId="1EE2DE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6" w:name="_Toc15377219"/>
      <w:bookmarkStart w:id="37" w:name="_Toc143699697"/>
    </w:p>
    <w:p w14:paraId="7E412A5A">
      <w:pPr>
        <w:numPr>
          <w:ilvl w:val="0"/>
          <w:numId w:val="0"/>
        </w:numPr>
        <w:spacing w:line="600" w:lineRule="exact"/>
        <w:ind w:left="630" w:leftChars="0"/>
        <w:outlineLvl w:val="1"/>
        <w:rPr>
          <w:rStyle w:val="30"/>
          <w:rFonts w:hint="eastAsia" w:ascii="Times New Roman" w:hAnsi="Times New Roman" w:eastAsia="黑体" w:cstheme="majorBidi"/>
          <w:b w:val="0"/>
          <w:color w:val="auto"/>
          <w:highlight w:val="none"/>
          <w:lang w:eastAsia="zh-CN"/>
        </w:rPr>
      </w:pPr>
      <w:r>
        <w:rPr>
          <w:rStyle w:val="30"/>
          <w:rFonts w:hint="eastAsia" w:ascii="Times New Roman" w:hAnsi="Times New Roman" w:eastAsia="黑体" w:cstheme="majorBidi"/>
          <w:b w:val="0"/>
          <w:color w:val="auto"/>
          <w:highlight w:val="none"/>
          <w:lang w:eastAsia="zh-CN"/>
        </w:rPr>
        <w:t>九、国有资本经营预算支出决算情况说明</w:t>
      </w:r>
      <w:bookmarkEnd w:id="36"/>
      <w:bookmarkEnd w:id="37"/>
    </w:p>
    <w:p w14:paraId="05B4FF89">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2024年度本单位无国有资本经营预算财政拨款支出，上年也无此项支出</w:t>
      </w:r>
      <w:r>
        <w:rPr>
          <w:rFonts w:hint="eastAsia" w:cs="Times New Roman"/>
          <w:color w:val="000000"/>
          <w:lang w:val="en-US" w:eastAsia="zh-CN"/>
        </w:rPr>
        <w:t>。</w:t>
      </w:r>
    </w:p>
    <w:p w14:paraId="77AC97B8">
      <w:pPr>
        <w:topLinePunct/>
        <w:spacing w:line="540" w:lineRule="exact"/>
        <w:ind w:firstLine="645"/>
        <w:rPr>
          <w:rFonts w:hint="eastAsia" w:ascii="Times New Roman" w:hAnsi="Times New Roman" w:eastAsia="方正仿宋_GBK" w:cs="Times New Roman"/>
          <w:color w:val="000000"/>
          <w:lang w:val="en-US" w:eastAsia="zh-CN"/>
        </w:rPr>
      </w:pPr>
    </w:p>
    <w:p w14:paraId="5EB5764A">
      <w:pPr>
        <w:topLinePunct/>
        <w:spacing w:line="540" w:lineRule="exact"/>
        <w:ind w:firstLine="641"/>
        <w:outlineLvl w:val="1"/>
        <w:rPr>
          <w:rFonts w:ascii="方正黑体_GBK" w:eastAsia="方正黑体_GBK"/>
          <w:color w:val="000000"/>
        </w:rPr>
      </w:pPr>
      <w:bookmarkStart w:id="38" w:name="_Toc50044890"/>
      <w:bookmarkStart w:id="39" w:name="_Toc143699698"/>
      <w:bookmarkStart w:id="40" w:name="_Toc15377221"/>
      <w:bookmarkStart w:id="41" w:name="_Toc143699699"/>
      <w:r>
        <w:rPr>
          <w:rFonts w:hint="eastAsia" w:ascii="方正黑体_GBK" w:eastAsia="方正黑体_GBK"/>
          <w:color w:val="000000"/>
        </w:rPr>
        <w:t>十、预算绩效管理情况</w:t>
      </w:r>
      <w:bookmarkEnd w:id="38"/>
      <w:bookmarkEnd w:id="39"/>
      <w:r>
        <w:rPr>
          <w:rFonts w:hint="eastAsia" w:ascii="方正黑体_GBK" w:eastAsia="方正黑体_GBK"/>
          <w:color w:val="000000"/>
        </w:rPr>
        <w:t>说明</w:t>
      </w:r>
    </w:p>
    <w:p w14:paraId="27DE6D42">
      <w:pPr>
        <w:topLinePunct/>
        <w:spacing w:line="540" w:lineRule="exact"/>
        <w:ind w:firstLine="632" w:firstLineChars="200"/>
        <w:outlineLvl w:val="2"/>
        <w:rPr>
          <w:rFonts w:ascii="方正楷体_GBK" w:eastAsia="方正楷体_GBK"/>
          <w:bCs/>
          <w:color w:val="000000"/>
        </w:rPr>
      </w:pPr>
      <w:r>
        <w:rPr>
          <w:rFonts w:hint="eastAsia" w:ascii="方正楷体_GBK" w:eastAsia="方正楷体_GBK"/>
          <w:bCs/>
          <w:color w:val="000000"/>
        </w:rPr>
        <w:t>（一）预算绩效管理工作开展情况</w:t>
      </w:r>
    </w:p>
    <w:p w14:paraId="11D355AF">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根据预算绩效管理要求，</w:t>
      </w:r>
      <w:r>
        <w:rPr>
          <w:rFonts w:hint="eastAsia" w:cs="Times New Roman"/>
          <w:color w:val="000000"/>
          <w:lang w:val="en-US" w:eastAsia="zh-CN"/>
        </w:rPr>
        <w:t>本单位</w:t>
      </w:r>
      <w:r>
        <w:rPr>
          <w:rFonts w:hint="eastAsia" w:ascii="Times New Roman" w:hAnsi="Times New Roman" w:eastAsia="方正仿宋_GBK" w:cs="Times New Roman"/>
          <w:color w:val="000000"/>
          <w:lang w:val="en-US" w:eastAsia="zh-CN"/>
        </w:rPr>
        <w:t>在2024年度预算编制阶段，组织对医疗卫生岗志愿者待遇经费和发热门诊房屋租赁特定目标类项目开展了预算事前绩效评估，对2个特定目标类项目编制了绩效目标；在2024年预算执行过程中，对17个特定目标类项目开展绩效监控；2024年终执行完毕后，对17个特定目标类项目开展了绩效自评。</w:t>
      </w:r>
    </w:p>
    <w:p w14:paraId="5ED7FAC9">
      <w:pPr>
        <w:topLinePunct/>
        <w:spacing w:line="540" w:lineRule="exact"/>
        <w:ind w:firstLine="632" w:firstLineChars="200"/>
        <w:outlineLvl w:val="2"/>
        <w:rPr>
          <w:rFonts w:ascii="方正楷体_GBK" w:eastAsia="方正楷体_GBK"/>
          <w:bCs/>
          <w:color w:val="000000"/>
        </w:rPr>
      </w:pPr>
      <w:r>
        <w:rPr>
          <w:rFonts w:ascii="方正楷体_GBK" w:eastAsia="方正楷体_GBK"/>
          <w:bCs/>
          <w:color w:val="000000"/>
        </w:rPr>
        <w:t>（二）绩效自评</w:t>
      </w:r>
      <w:r>
        <w:rPr>
          <w:rFonts w:hint="eastAsia" w:ascii="方正楷体_GBK" w:eastAsia="方正楷体_GBK"/>
          <w:bCs/>
          <w:color w:val="000000"/>
        </w:rPr>
        <w:t>结果</w:t>
      </w:r>
    </w:p>
    <w:p w14:paraId="45ECFCDC">
      <w:pPr>
        <w:topLinePunct/>
        <w:spacing w:line="540" w:lineRule="exact"/>
        <w:ind w:firstLine="645"/>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成都儿童专科医院在2024年度部门决算中反映“区卫健系统对口支援“传帮带”人员待遇经费”“基层党组织工作经费”“医疗卫生岗志愿者待遇经费”“区属公立医疗机构及改制医院退休人员一次性生活补贴”“发热门诊房屋租赁”“公立医院综合改革（中央直达）”“县级公立医院取消药品加成补助”“县级公立医院取消药品加成（市级补助）”“基本公共卫生服务项目经费”“基本公共卫生服务项目经费（市级补助）”“重大公共卫生服务（市级补助）”“重大公共卫生服务（中央补助）”“核酸检测经费”“医疗机构儿科门、急诊专项补助”“医疗服务与保障能力提升（医疗卫生机构能力建设）（中央直达）”“成都市2024年市级预算内基本建设投资计划（第三批）青羊区2024年政策性资金项目前端激励”等17个特定目标类项目绩效自评情况。17个特定目标类项目绩效自评平均得分99.52分，其中，最高100分，为县级公立医院取消药品加成补助、县级公立医院取消药品加成（市级补助）、成都市2024年市级预算内基本建设投资计划（第三批）青羊区2024年政策性资金项目前端激励、区卫健系统对口支援“传帮带”人员待遇经费、区属公立医疗机构及改制医院退休人员一次性生活补贴、基层党组织工作经费、医疗服务与保障能力提升（医疗卫生机构能力建设）（中央直达）、基本公共卫生服务项目经费、基本公共卫生服务项目经费（市级补助）、医疗机构儿科门、急诊专项补助、公立医院综合改革（中央直达）、核酸检测经费12个项目；最低96分，为成都儿童专科医院高质量发展能力提升建设项目。</w:t>
      </w:r>
    </w:p>
    <w:p w14:paraId="63E46EC0">
      <w:pPr>
        <w:topLinePunct/>
        <w:spacing w:line="540" w:lineRule="exact"/>
        <w:ind w:firstLine="632" w:firstLineChars="200"/>
        <w:outlineLvl w:val="2"/>
        <w:rPr>
          <w:rFonts w:hint="default" w:ascii="Times New Roman" w:hAnsi="Times New Roman" w:eastAsia="方正仿宋_GBK" w:cs="Times New Roman"/>
          <w:color w:val="000000"/>
          <w:lang w:val="en-US" w:eastAsia="zh-CN"/>
        </w:rPr>
      </w:pPr>
      <w:r>
        <w:rPr>
          <w:rFonts w:hint="eastAsia" w:eastAsia="方正仿宋_GBK"/>
          <w:color w:val="000000"/>
        </w:rPr>
        <w:t>《部门预算项目支出绩效自评表（2024年度）》（附件1）</w:t>
      </w:r>
    </w:p>
    <w:p w14:paraId="3CCA96E2">
      <w:pPr>
        <w:numPr>
          <w:ilvl w:val="0"/>
          <w:numId w:val="0"/>
        </w:numPr>
        <w:spacing w:line="600" w:lineRule="exact"/>
        <w:ind w:left="630" w:leftChars="0"/>
        <w:outlineLvl w:val="1"/>
        <w:rPr>
          <w:rStyle w:val="30"/>
          <w:rFonts w:hint="eastAsia" w:ascii="Times New Roman" w:hAnsi="Times New Roman" w:eastAsia="黑体" w:cstheme="majorBidi"/>
          <w:b w:val="0"/>
          <w:color w:val="auto"/>
          <w:highlight w:val="none"/>
          <w:lang w:eastAsia="zh-CN"/>
        </w:rPr>
      </w:pPr>
    </w:p>
    <w:p w14:paraId="25047671">
      <w:pPr>
        <w:numPr>
          <w:ilvl w:val="0"/>
          <w:numId w:val="0"/>
        </w:numPr>
        <w:spacing w:line="600" w:lineRule="exact"/>
        <w:ind w:left="630" w:leftChars="0"/>
        <w:outlineLvl w:val="1"/>
        <w:rPr>
          <w:rStyle w:val="30"/>
          <w:rFonts w:hint="eastAsia" w:ascii="Times New Roman" w:hAnsi="Times New Roman" w:eastAsia="黑体" w:cstheme="majorBidi"/>
          <w:b w:val="0"/>
          <w:color w:val="auto"/>
          <w:highlight w:val="none"/>
          <w:lang w:eastAsia="zh-CN"/>
        </w:rPr>
      </w:pPr>
      <w:r>
        <w:rPr>
          <w:rStyle w:val="30"/>
          <w:rFonts w:hint="eastAsia" w:ascii="Times New Roman" w:hAnsi="Times New Roman" w:eastAsia="黑体" w:cstheme="majorBidi"/>
          <w:b w:val="0"/>
          <w:color w:val="auto"/>
          <w:highlight w:val="none"/>
          <w:lang w:eastAsia="zh-CN"/>
        </w:rPr>
        <w:t>十、其他重要事项的情况说明</w:t>
      </w:r>
      <w:bookmarkEnd w:id="40"/>
      <w:bookmarkEnd w:id="41"/>
    </w:p>
    <w:p w14:paraId="6EB3D377">
      <w:pPr>
        <w:topLinePunct/>
        <w:ind w:firstLine="632" w:firstLineChars="200"/>
        <w:outlineLvl w:val="2"/>
        <w:rPr>
          <w:rFonts w:hint="eastAsia" w:ascii="方正楷体_GBK" w:hAnsi="Times New Roman" w:eastAsia="方正楷体_GBK" w:cs="Times New Roman"/>
          <w:bCs/>
          <w:color w:val="000000"/>
        </w:rPr>
      </w:pPr>
      <w:bookmarkStart w:id="42" w:name="_Toc15377222"/>
      <w:r>
        <w:rPr>
          <w:rFonts w:hint="eastAsia" w:ascii="方正楷体_GBK" w:hAnsi="Times New Roman" w:eastAsia="方正楷体_GBK" w:cs="Times New Roman"/>
          <w:bCs/>
          <w:color w:val="000000"/>
        </w:rPr>
        <w:t>（一）机关运行经费支出情况</w:t>
      </w:r>
      <w:bookmarkEnd w:id="42"/>
    </w:p>
    <w:p w14:paraId="4DC68ED5">
      <w:pPr>
        <w:topLinePunct/>
        <w:ind w:firstLine="632" w:firstLineChars="200"/>
        <w:rPr>
          <w:rFonts w:hint="eastAsia"/>
          <w:lang w:val="en-US" w:eastAsia="zh-CN"/>
        </w:rPr>
      </w:pPr>
      <w:r>
        <w:rPr>
          <w:rFonts w:hint="eastAsia" w:ascii="Times New Roman" w:hAnsi="Times New Roman" w:eastAsia="方正仿宋_GBK" w:cs="Times New Roman"/>
          <w:color w:val="000000"/>
          <w:lang w:val="en-US" w:eastAsia="zh-CN"/>
        </w:rPr>
        <w:t>2024年，成都儿童专科医院机关运行经费支出0万元，与2023年决算数持平。</w:t>
      </w:r>
    </w:p>
    <w:p w14:paraId="6B840FD4">
      <w:pPr>
        <w:topLinePunct/>
        <w:ind w:firstLine="632" w:firstLineChars="200"/>
        <w:outlineLvl w:val="2"/>
        <w:rPr>
          <w:rFonts w:hint="eastAsia" w:ascii="方正楷体_GBK" w:hAnsi="Times New Roman" w:eastAsia="方正楷体_GBK" w:cs="Times New Roman"/>
          <w:bCs/>
          <w:color w:val="000000"/>
        </w:rPr>
      </w:pPr>
      <w:bookmarkStart w:id="43" w:name="_Toc15377223"/>
      <w:r>
        <w:rPr>
          <w:rFonts w:hint="eastAsia" w:ascii="方正楷体_GBK" w:hAnsi="Times New Roman" w:eastAsia="方正楷体_GBK" w:cs="Times New Roman"/>
          <w:bCs/>
          <w:color w:val="000000"/>
        </w:rPr>
        <w:t>（二）政府采购支出情况</w:t>
      </w:r>
      <w:bookmarkEnd w:id="43"/>
    </w:p>
    <w:p w14:paraId="04E8D4D7">
      <w:pPr>
        <w:topLinePunct/>
        <w:ind w:firstLine="632" w:firstLineChars="200"/>
        <w:rPr>
          <w:rFonts w:hint="eastAsia"/>
        </w:rPr>
      </w:pPr>
      <w:r>
        <w:rPr>
          <w:rFonts w:hint="eastAsia" w:ascii="Times New Roman" w:hAnsi="Times New Roman" w:eastAsia="方正仿宋_GBK" w:cs="Times New Roman"/>
          <w:color w:val="000000"/>
          <w:lang w:val="en-US" w:eastAsia="zh-CN"/>
        </w:rPr>
        <w:t>2024年度，成都儿童专科医院政府采购支出总额1357.87万元，其中：政府采购货物支出832.80万元、政府采购服务支出525.07万元。授予中小企业合同金额1357.87万元，占政府采购支出总额的100%，其中：授予小微企业合同金额716.69万元，占政府采购支出总额的52.78%。</w:t>
      </w:r>
    </w:p>
    <w:p w14:paraId="75CBF4E2">
      <w:pPr>
        <w:topLinePunct/>
        <w:ind w:firstLine="632" w:firstLineChars="200"/>
        <w:outlineLvl w:val="2"/>
        <w:rPr>
          <w:rFonts w:hint="eastAsia" w:ascii="方正楷体_GBK" w:hAnsi="Times New Roman" w:eastAsia="方正楷体_GBK" w:cs="Times New Roman"/>
          <w:bCs/>
          <w:color w:val="000000"/>
        </w:rPr>
      </w:pPr>
      <w:bookmarkStart w:id="44" w:name="_Toc15377224"/>
      <w:r>
        <w:rPr>
          <w:rFonts w:hint="eastAsia" w:ascii="方正楷体_GBK" w:hAnsi="Times New Roman" w:eastAsia="方正楷体_GBK" w:cs="Times New Roman"/>
          <w:bCs/>
          <w:color w:val="000000"/>
        </w:rPr>
        <w:t>（三）国有资产占有使用情况</w:t>
      </w:r>
      <w:bookmarkEnd w:id="44"/>
    </w:p>
    <w:p w14:paraId="397A8BF3">
      <w:pPr>
        <w:topLinePunct/>
        <w:ind w:firstLine="632" w:firstLineChars="200"/>
        <w:rPr>
          <w:rFonts w:hint="eastAsia" w:ascii="Times New Roman" w:hAnsi="Times New Roman" w:eastAsia="方正仿宋_GBK" w:cs="Times New Roman"/>
          <w:color w:val="000000"/>
          <w:lang w:val="en-US" w:eastAsia="zh-CN"/>
        </w:rPr>
      </w:pPr>
      <w:r>
        <w:rPr>
          <w:rFonts w:hint="eastAsia" w:ascii="Times New Roman" w:hAnsi="Times New Roman" w:eastAsia="方正仿宋_GBK" w:cs="Times New Roman"/>
          <w:color w:val="000000"/>
          <w:lang w:val="en-US" w:eastAsia="zh-CN"/>
        </w:rPr>
        <w:t>截至2024年12月31日，成都儿童专科医院共有车辆5辆，其中：应急保障用车2辆、特种专业技术用车3辆。单价100万元（含）以上设备（不含车辆）6台（套）。</w:t>
      </w:r>
    </w:p>
    <w:p w14:paraId="0DEE48B7">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bookmarkStart w:id="45" w:name="_Toc15377225"/>
      <w:bookmarkStart w:id="46" w:name="_Toc143699700"/>
    </w:p>
    <w:p w14:paraId="3D6A6C64">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67178624">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4722FEE8">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0462769D">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5B041338">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18CCD313">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15F5E608">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19D91445">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p w14:paraId="5D781881">
      <w:pPr>
        <w:pStyle w:val="2"/>
        <w:keepNext w:val="0"/>
        <w:keepLines w:val="0"/>
        <w:topLinePunct/>
        <w:spacing w:before="0" w:after="0" w:line="240" w:lineRule="auto"/>
        <w:jc w:val="center"/>
        <w:rPr>
          <w:rFonts w:hint="eastAsia" w:ascii="Times New Roman" w:hAnsi="Times New Roman" w:eastAsia="黑体" w:cs="Times New Roman"/>
          <w:b w:val="0"/>
          <w:bCs w:val="0"/>
          <w:color w:val="auto"/>
          <w:kern w:val="2"/>
          <w:sz w:val="44"/>
          <w:szCs w:val="44"/>
          <w:highlight w:val="none"/>
          <w:lang w:val="en-US" w:eastAsia="zh-CN" w:bidi="ar-SA"/>
        </w:rPr>
      </w:pPr>
    </w:p>
    <w:bookmarkEnd w:id="45"/>
    <w:bookmarkEnd w:id="46"/>
    <w:p w14:paraId="5C783B91">
      <w:pPr>
        <w:pStyle w:val="2"/>
        <w:keepNext w:val="0"/>
        <w:keepLines w:val="0"/>
        <w:topLinePunct/>
        <w:spacing w:before="0" w:after="0" w:line="240" w:lineRule="auto"/>
        <w:jc w:val="center"/>
        <w:rPr>
          <w:rFonts w:hint="eastAsia" w:eastAsia="方正黑体_GBK"/>
          <w:b w:val="0"/>
          <w:bCs w:val="0"/>
          <w:sz w:val="32"/>
          <w:szCs w:val="32"/>
        </w:rPr>
      </w:pPr>
    </w:p>
    <w:p w14:paraId="0F103C0A">
      <w:pPr>
        <w:pStyle w:val="2"/>
        <w:keepNext w:val="0"/>
        <w:keepLines w:val="0"/>
        <w:topLinePunct/>
        <w:spacing w:before="0" w:after="0" w:line="240" w:lineRule="auto"/>
        <w:jc w:val="center"/>
        <w:rPr>
          <w:rFonts w:hint="eastAsia" w:eastAsia="方正黑体_GBK"/>
          <w:b w:val="0"/>
          <w:bCs w:val="0"/>
          <w:sz w:val="32"/>
          <w:szCs w:val="32"/>
        </w:rPr>
      </w:pPr>
    </w:p>
    <w:p w14:paraId="6F85765F">
      <w:pPr>
        <w:pStyle w:val="2"/>
        <w:keepNext w:val="0"/>
        <w:keepLines w:val="0"/>
        <w:topLinePunct/>
        <w:spacing w:before="0" w:after="0" w:line="240" w:lineRule="auto"/>
        <w:jc w:val="center"/>
        <w:rPr>
          <w:rFonts w:hint="eastAsia" w:eastAsia="方正黑体_GBK"/>
          <w:b w:val="0"/>
          <w:bCs w:val="0"/>
          <w:sz w:val="32"/>
          <w:szCs w:val="32"/>
        </w:rPr>
      </w:pPr>
    </w:p>
    <w:p w14:paraId="299FAB03">
      <w:pPr>
        <w:pStyle w:val="2"/>
        <w:keepNext w:val="0"/>
        <w:keepLines w:val="0"/>
        <w:topLinePunct/>
        <w:spacing w:before="0" w:after="0" w:line="240" w:lineRule="auto"/>
        <w:jc w:val="center"/>
        <w:rPr>
          <w:rFonts w:hint="eastAsia" w:eastAsia="方正黑体_GBK"/>
          <w:b w:val="0"/>
          <w:bCs w:val="0"/>
          <w:sz w:val="32"/>
          <w:szCs w:val="32"/>
        </w:rPr>
      </w:pPr>
    </w:p>
    <w:p w14:paraId="1160B99F">
      <w:pPr>
        <w:pStyle w:val="2"/>
        <w:keepNext w:val="0"/>
        <w:keepLines w:val="0"/>
        <w:topLinePunct/>
        <w:spacing w:before="0" w:after="0" w:line="240" w:lineRule="auto"/>
        <w:jc w:val="center"/>
        <w:rPr>
          <w:rFonts w:hint="eastAsia" w:eastAsia="方正黑体_GBK"/>
          <w:b w:val="0"/>
          <w:bCs w:val="0"/>
          <w:sz w:val="32"/>
          <w:szCs w:val="32"/>
        </w:rPr>
      </w:pPr>
    </w:p>
    <w:p w14:paraId="363428B6">
      <w:pPr>
        <w:pStyle w:val="2"/>
        <w:keepNext w:val="0"/>
        <w:keepLines w:val="0"/>
        <w:topLinePunct/>
        <w:spacing w:before="0" w:after="0" w:line="240" w:lineRule="auto"/>
        <w:jc w:val="center"/>
        <w:rPr>
          <w:rFonts w:hint="eastAsia" w:eastAsia="方正黑体_GBK"/>
          <w:b w:val="0"/>
          <w:bCs w:val="0"/>
          <w:sz w:val="32"/>
          <w:szCs w:val="32"/>
        </w:rPr>
      </w:pPr>
    </w:p>
    <w:p w14:paraId="5A475F48">
      <w:pPr>
        <w:pStyle w:val="2"/>
        <w:keepNext w:val="0"/>
        <w:keepLines w:val="0"/>
        <w:topLinePunct/>
        <w:spacing w:before="0" w:after="0" w:line="240" w:lineRule="auto"/>
        <w:jc w:val="center"/>
        <w:rPr>
          <w:rFonts w:hint="eastAsia" w:eastAsia="方正黑体_GBK"/>
          <w:b w:val="0"/>
          <w:bCs w:val="0"/>
          <w:sz w:val="32"/>
          <w:szCs w:val="32"/>
        </w:rPr>
      </w:pPr>
    </w:p>
    <w:p w14:paraId="23EA2C40">
      <w:pPr>
        <w:pStyle w:val="2"/>
        <w:keepNext w:val="0"/>
        <w:keepLines w:val="0"/>
        <w:topLinePunct/>
        <w:spacing w:before="0" w:after="0" w:line="240" w:lineRule="auto"/>
        <w:jc w:val="center"/>
        <w:rPr>
          <w:rFonts w:hint="eastAsia" w:eastAsia="方正黑体_GBK"/>
          <w:b w:val="0"/>
          <w:bCs w:val="0"/>
          <w:sz w:val="32"/>
          <w:szCs w:val="32"/>
        </w:rPr>
      </w:pPr>
    </w:p>
    <w:p w14:paraId="0043AAD0">
      <w:pPr>
        <w:pStyle w:val="2"/>
        <w:keepNext w:val="0"/>
        <w:keepLines w:val="0"/>
        <w:topLinePunct/>
        <w:spacing w:before="0" w:after="0" w:line="240" w:lineRule="auto"/>
        <w:jc w:val="center"/>
        <w:rPr>
          <w:rFonts w:hint="eastAsia" w:eastAsia="方正黑体_GBK"/>
          <w:b w:val="0"/>
          <w:bCs w:val="0"/>
          <w:sz w:val="32"/>
          <w:szCs w:val="32"/>
        </w:rPr>
      </w:pPr>
    </w:p>
    <w:p w14:paraId="68A895FF">
      <w:pPr>
        <w:pStyle w:val="2"/>
        <w:keepNext w:val="0"/>
        <w:keepLines w:val="0"/>
        <w:topLinePunct/>
        <w:spacing w:before="0" w:after="0" w:line="240" w:lineRule="auto"/>
        <w:jc w:val="center"/>
        <w:rPr>
          <w:rFonts w:hint="eastAsia" w:eastAsia="方正黑体_GBK"/>
          <w:b w:val="0"/>
          <w:bCs w:val="0"/>
          <w:sz w:val="32"/>
          <w:szCs w:val="32"/>
        </w:rPr>
      </w:pPr>
    </w:p>
    <w:p w14:paraId="2BD3104D">
      <w:pPr>
        <w:pStyle w:val="2"/>
        <w:keepNext w:val="0"/>
        <w:keepLines w:val="0"/>
        <w:topLinePunct/>
        <w:spacing w:before="0" w:after="0" w:line="240" w:lineRule="auto"/>
        <w:jc w:val="center"/>
        <w:rPr>
          <w:rFonts w:eastAsia="方正黑体_GBK"/>
          <w:b w:val="0"/>
          <w:sz w:val="32"/>
          <w:szCs w:val="32"/>
        </w:rPr>
      </w:pPr>
      <w:r>
        <w:rPr>
          <w:rFonts w:hint="eastAsia" w:eastAsia="方正黑体_GBK"/>
          <w:b w:val="0"/>
          <w:bCs w:val="0"/>
          <w:sz w:val="32"/>
          <w:szCs w:val="32"/>
        </w:rPr>
        <w:t xml:space="preserve">第三部分 </w:t>
      </w:r>
      <w:r>
        <w:rPr>
          <w:rFonts w:eastAsia="方正黑体_GBK"/>
          <w:b w:val="0"/>
          <w:bCs w:val="0"/>
          <w:sz w:val="32"/>
          <w:szCs w:val="32"/>
        </w:rPr>
        <w:t>名</w:t>
      </w:r>
      <w:r>
        <w:rPr>
          <w:rFonts w:eastAsia="方正黑体_GBK"/>
          <w:b w:val="0"/>
          <w:sz w:val="32"/>
          <w:szCs w:val="32"/>
        </w:rPr>
        <w:t>词解释</w:t>
      </w:r>
    </w:p>
    <w:p w14:paraId="42BCF714">
      <w:pPr>
        <w:topLinePunct/>
        <w:jc w:val="left"/>
        <w:rPr>
          <w:rFonts w:eastAsia="方正仿宋_GBK"/>
          <w:b/>
          <w:bCs/>
          <w:color w:val="000000"/>
        </w:rPr>
      </w:pPr>
    </w:p>
    <w:p w14:paraId="3313DE78">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1.财政拨款收入：指单位从同级财政部门取得的财政预算资金。</w:t>
      </w:r>
    </w:p>
    <w:p w14:paraId="30018BA3">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2.事业收入：指事业单位开展专业业务活动及辅助活动取得的收入。如…（二级预算单位事业收入情况）等。</w:t>
      </w:r>
    </w:p>
    <w:p w14:paraId="2D846C9F">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3.经营收入：指事业单位在专业业务活动及其辅助活动之外开展非独立核算经营活动取得的收入。如…（二级预算单位经营收入情况）等。</w:t>
      </w:r>
    </w:p>
    <w:p w14:paraId="286053A0">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4.其他收入：指单位取得的除上述收入以外的各项收入。主要是…（收入类型）等。</w:t>
      </w:r>
    </w:p>
    <w:p w14:paraId="622E81F5">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5.使用非财政拨款结余：指事业单位使用以前年度积累的非财政拨款结余弥补当年收支差额的金额。</w:t>
      </w:r>
    </w:p>
    <w:p w14:paraId="084EB457">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6.年初结转和结余：指以前年度尚未完成、结转到本年按有关规定继续使用的资金。</w:t>
      </w:r>
    </w:p>
    <w:p w14:paraId="266CA8E6">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7.结余分配：指事业单位按照会计制度规定缴纳的所得税、提取的专用结余以及转入非财政拨款结余的金额等。</w:t>
      </w:r>
    </w:p>
    <w:p w14:paraId="6F1D1F4A">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8、年末结转和结余：指单位按有关规定结转到下年或以后年度继续使用的资金。</w:t>
      </w:r>
    </w:p>
    <w:p w14:paraId="1DBCBDB2">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9、卫生健康支出（类）卫生健康管理事务（款）其他卫生健康管理事务支出（项）：指反映除行政运行、一般行政管理实务、机关服务以外其他用于卫生健康管理事务方面的支出。</w:t>
      </w:r>
    </w:p>
    <w:p w14:paraId="308FB9FB">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10、卫生健康支出（类）公立医院（款）儿童医院（项）：反映卫生健康、中医部门所属的专门从事儿童疾病治疗医院的支出。</w:t>
      </w:r>
    </w:p>
    <w:p w14:paraId="0C68130C">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11、卫生健康支出（类）公立医院（款）其他公立医院支出（项）：指反映除综合医院、中医（民族）医院、传染病医院、职业病防治医院、精神病医院、妇产医院、儿童医院、其他专科医院、福利医院、行业医院、处理医疗欠费以外的其他用于公立医院方面的支出。</w:t>
      </w:r>
    </w:p>
    <w:p w14:paraId="062058CA">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12、卫生健康支出（类）公共卫生（款）基本公共卫生服务（项）:指反映基本公共卫生服务支出。</w:t>
      </w:r>
    </w:p>
    <w:p w14:paraId="01167551">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13、卫生健康支出（类）公共卫生（款）重大公共卫生服务（项）:指反映重大疾病预防防控等重大公共卫生服务项目支出。</w:t>
      </w:r>
    </w:p>
    <w:p w14:paraId="762FED2C">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14、卫生健康支出（类）公共卫生（款）突发公共卫生事件应急处理（项）:指反映用于突发公共卫生事件应急处理的支出。</w:t>
      </w:r>
    </w:p>
    <w:p w14:paraId="460DE895">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15、卫生健康支出（类）行政事业单位医疗（款）公务员医疗补助（项）:指反映财政部门安排的公务员医疗补助经费。</w:t>
      </w:r>
    </w:p>
    <w:p w14:paraId="327060B1">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16、卫生健康支出（类）其他卫生健康支出（款）其他卫生健康支出（项）:指反映除上述项目以外其他用于卫生健康方面的支出。</w:t>
      </w:r>
    </w:p>
    <w:p w14:paraId="539E1AB1">
      <w:pPr>
        <w:pStyle w:val="42"/>
        <w:topLinePunct/>
        <w:autoSpaceDE/>
        <w:autoSpaceDN/>
        <w:spacing w:line="540" w:lineRule="exact"/>
        <w:ind w:firstLine="632"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17、其他支出（类）其他支出（款）其他支出（项）：指反映除上述项目以外其他不能划分到具体功能科目中的支出。</w:t>
      </w:r>
    </w:p>
    <w:p w14:paraId="6004C54A">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18、基本支出：指为保障机构正常运转、完成日常工作任务而发生的人员支出和公用支出。</w:t>
      </w:r>
    </w:p>
    <w:p w14:paraId="01352FAB">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19、项目支出：指在基本支出之外为完成特定行政任务和事业发展目标所发生的支出。</w:t>
      </w:r>
    </w:p>
    <w:p w14:paraId="44638C4E">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20、经营支出：指事业单位在专业业务活动及其辅助活动之外开展非独立核算经营活动发生的支出。</w:t>
      </w:r>
    </w:p>
    <w:p w14:paraId="15C237F1">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21、“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B2C116E">
      <w:pPr>
        <w:pStyle w:val="42"/>
        <w:topLinePunct/>
        <w:autoSpaceDE/>
        <w:autoSpaceDN/>
        <w:spacing w:line="540" w:lineRule="exact"/>
        <w:ind w:firstLine="632"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3F6D72D">
      <w:pPr>
        <w:topLinePunct/>
        <w:jc w:val="center"/>
        <w:outlineLvl w:val="0"/>
        <w:rPr>
          <w:rStyle w:val="49"/>
          <w:rFonts w:ascii="方正黑体_GBK" w:eastAsia="方正黑体_GBK"/>
          <w:b w:val="0"/>
          <w:bCs w:val="0"/>
          <w:sz w:val="32"/>
          <w:szCs w:val="32"/>
        </w:rPr>
      </w:pPr>
      <w:r>
        <w:rPr>
          <w:rFonts w:eastAsia="方正仿宋_GBK"/>
          <w:b/>
          <w:bCs/>
          <w:color w:val="000000"/>
        </w:rPr>
        <w:br w:type="page"/>
      </w:r>
      <w:bookmarkStart w:id="47" w:name="_Toc143699701"/>
      <w:r>
        <w:rPr>
          <w:rFonts w:hint="eastAsia" w:ascii="方正黑体_GBK" w:eastAsia="方正黑体_GBK"/>
          <w:color w:val="000000"/>
        </w:rPr>
        <w:t>第</w:t>
      </w:r>
      <w:r>
        <w:rPr>
          <w:rStyle w:val="49"/>
          <w:rFonts w:hint="eastAsia" w:ascii="方正黑体_GBK" w:eastAsia="方正黑体_GBK"/>
          <w:b w:val="0"/>
          <w:bCs w:val="0"/>
          <w:sz w:val="32"/>
          <w:szCs w:val="32"/>
        </w:rPr>
        <w:t>四部分 附  件</w:t>
      </w:r>
      <w:bookmarkEnd w:id="47"/>
    </w:p>
    <w:p w14:paraId="24E511DF">
      <w:pPr>
        <w:topLinePunct/>
        <w:jc w:val="center"/>
        <w:outlineLvl w:val="0"/>
        <w:rPr>
          <w:rFonts w:hint="eastAsia" w:ascii="Times New Roman" w:hAnsi="Times New Roman" w:eastAsia="黑体"/>
          <w:color w:val="auto"/>
          <w:sz w:val="44"/>
          <w:szCs w:val="44"/>
          <w:highlight w:val="none"/>
        </w:rPr>
      </w:pPr>
    </w:p>
    <w:p w14:paraId="31F11167">
      <w:pPr>
        <w:topLinePunct/>
        <w:jc w:val="left"/>
        <w:outlineLvl w:val="0"/>
        <w:rPr>
          <w:rFonts w:hint="default" w:eastAsia="方正仿宋_GBK"/>
          <w:bCs/>
          <w:kern w:val="44"/>
          <w:lang w:val="en-US"/>
        </w:rPr>
      </w:pPr>
      <w:r>
        <w:rPr>
          <w:rStyle w:val="28"/>
          <w:rFonts w:hint="eastAsia" w:eastAsia="方正仿宋_GBK"/>
          <w:b w:val="0"/>
          <w:sz w:val="32"/>
          <w:szCs w:val="32"/>
        </w:rPr>
        <w:t>附件1</w:t>
      </w:r>
      <w:r>
        <w:rPr>
          <w:rStyle w:val="28"/>
          <w:rFonts w:hint="eastAsia"/>
          <w:b w:val="0"/>
          <w:sz w:val="32"/>
          <w:szCs w:val="32"/>
          <w:lang w:val="en-US"/>
        </w:rPr>
        <w:t>-1</w:t>
      </w:r>
    </w:p>
    <w:p w14:paraId="193177C3">
      <w:pPr>
        <w:topLinePunct/>
        <w:jc w:val="center"/>
        <w:rPr>
          <w:rFonts w:eastAsia="方正仿宋_GBK"/>
          <w:color w:val="000000"/>
        </w:rPr>
      </w:pPr>
    </w:p>
    <w:p w14:paraId="6CA9919B">
      <w:pPr>
        <w:topLinePunct/>
        <w:jc w:val="center"/>
        <w:rPr>
          <w:rFonts w:hint="eastAsia" w:eastAsia="方正仿宋_GBK"/>
          <w:color w:val="000000"/>
          <w:lang w:eastAsia="zh-CN"/>
        </w:rPr>
      </w:pPr>
      <w:r>
        <w:rPr>
          <w:rFonts w:hint="eastAsia" w:eastAsia="方正仿宋_GBK"/>
          <w:color w:val="000000"/>
          <w:lang w:eastAsia="zh-CN"/>
        </w:rPr>
        <w:drawing>
          <wp:inline distT="0" distB="0" distL="114300" distR="114300">
            <wp:extent cx="5610860" cy="6566535"/>
            <wp:effectExtent l="0" t="0" r="8890" b="571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13"/>
                    <a:stretch>
                      <a:fillRect/>
                    </a:stretch>
                  </pic:blipFill>
                  <pic:spPr>
                    <a:xfrm>
                      <a:off x="0" y="0"/>
                      <a:ext cx="5610860" cy="6566535"/>
                    </a:xfrm>
                    <a:prstGeom prst="rect">
                      <a:avLst/>
                    </a:prstGeom>
                  </pic:spPr>
                </pic:pic>
              </a:graphicData>
            </a:graphic>
          </wp:inline>
        </w:drawing>
      </w:r>
    </w:p>
    <w:p w14:paraId="1D34F8AC">
      <w:pPr>
        <w:pStyle w:val="26"/>
        <w:rPr>
          <w:rFonts w:hint="eastAsia"/>
          <w:lang w:eastAsia="zh-CN"/>
        </w:rPr>
      </w:pPr>
    </w:p>
    <w:p w14:paraId="46002182">
      <w:pPr>
        <w:topLinePunct/>
        <w:jc w:val="left"/>
        <w:outlineLvl w:val="0"/>
        <w:rPr>
          <w:rFonts w:hint="default"/>
          <w:lang w:val="en-US"/>
        </w:rPr>
      </w:pPr>
      <w:r>
        <w:rPr>
          <w:rStyle w:val="28"/>
          <w:rFonts w:hint="eastAsia" w:eastAsia="方正仿宋_GBK"/>
          <w:b w:val="0"/>
          <w:sz w:val="32"/>
          <w:szCs w:val="32"/>
        </w:rPr>
        <w:t>附件1</w:t>
      </w:r>
      <w:r>
        <w:rPr>
          <w:rStyle w:val="28"/>
          <w:rFonts w:hint="eastAsia"/>
          <w:b w:val="0"/>
          <w:sz w:val="32"/>
          <w:szCs w:val="32"/>
          <w:lang w:val="en-US"/>
        </w:rPr>
        <w:t>-2</w:t>
      </w:r>
    </w:p>
    <w:p w14:paraId="644E2020">
      <w:pPr>
        <w:topLinePunct/>
        <w:jc w:val="center"/>
        <w:rPr>
          <w:rFonts w:hint="eastAsia" w:eastAsia="方正仿宋_GBK"/>
          <w:color w:val="000000"/>
          <w:lang w:eastAsia="zh-CN"/>
        </w:rPr>
      </w:pPr>
      <w:r>
        <w:rPr>
          <w:rFonts w:hint="eastAsia" w:eastAsia="方正仿宋_GBK"/>
          <w:color w:val="000000"/>
          <w:lang w:eastAsia="zh-CN"/>
        </w:rPr>
        <w:drawing>
          <wp:inline distT="0" distB="0" distL="114300" distR="114300">
            <wp:extent cx="5610225" cy="6911340"/>
            <wp:effectExtent l="0" t="0" r="9525" b="381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14"/>
                    <a:stretch>
                      <a:fillRect/>
                    </a:stretch>
                  </pic:blipFill>
                  <pic:spPr>
                    <a:xfrm>
                      <a:off x="0" y="0"/>
                      <a:ext cx="5610225" cy="6911340"/>
                    </a:xfrm>
                    <a:prstGeom prst="rect">
                      <a:avLst/>
                    </a:prstGeom>
                  </pic:spPr>
                </pic:pic>
              </a:graphicData>
            </a:graphic>
          </wp:inline>
        </w:drawing>
      </w:r>
    </w:p>
    <w:p w14:paraId="3CA2E245">
      <w:pPr>
        <w:topLinePunct/>
        <w:jc w:val="center"/>
        <w:rPr>
          <w:rFonts w:eastAsia="方正仿宋_GBK"/>
          <w:color w:val="000000"/>
        </w:rPr>
        <w:sectPr>
          <w:footerReference r:id="rId3" w:type="default"/>
          <w:footerReference r:id="rId4" w:type="even"/>
          <w:pgSz w:w="11906" w:h="16838"/>
          <w:pgMar w:top="2098" w:right="1531" w:bottom="1985" w:left="1531" w:header="709" w:footer="1418" w:gutter="0"/>
          <w:cols w:space="425" w:num="1"/>
          <w:docGrid w:type="linesAndChars" w:linePitch="579" w:charSpace="-849"/>
        </w:sectPr>
      </w:pPr>
    </w:p>
    <w:p w14:paraId="2AE6A691">
      <w:pPr>
        <w:topLinePunct/>
        <w:jc w:val="left"/>
        <w:outlineLvl w:val="0"/>
        <w:rPr>
          <w:rFonts w:hint="default"/>
          <w:lang w:val="en-US"/>
        </w:rPr>
      </w:pPr>
      <w:r>
        <w:rPr>
          <w:rStyle w:val="28"/>
          <w:rFonts w:hint="eastAsia" w:eastAsia="方正仿宋_GBK"/>
          <w:b w:val="0"/>
          <w:sz w:val="32"/>
          <w:szCs w:val="32"/>
        </w:rPr>
        <w:t>附件1</w:t>
      </w:r>
      <w:r>
        <w:rPr>
          <w:rStyle w:val="28"/>
          <w:rFonts w:hint="eastAsia"/>
          <w:b w:val="0"/>
          <w:sz w:val="32"/>
          <w:szCs w:val="32"/>
          <w:lang w:val="en-US"/>
        </w:rPr>
        <w:t>-3</w:t>
      </w:r>
    </w:p>
    <w:p w14:paraId="4DB72041">
      <w:pPr>
        <w:topLinePunct/>
        <w:jc w:val="center"/>
        <w:rPr>
          <w:rFonts w:hint="eastAsia" w:eastAsia="方正仿宋_GBK"/>
          <w:color w:val="000000"/>
          <w:lang w:eastAsia="zh-CN"/>
        </w:rPr>
      </w:pPr>
      <w:r>
        <w:rPr>
          <w:rFonts w:hint="eastAsia" w:eastAsia="方正仿宋_GBK"/>
          <w:color w:val="000000"/>
          <w:lang w:eastAsia="zh-CN"/>
        </w:rPr>
        <w:drawing>
          <wp:inline distT="0" distB="0" distL="114300" distR="114300">
            <wp:extent cx="5034280" cy="7247255"/>
            <wp:effectExtent l="0" t="0" r="13970" b="1079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15"/>
                    <a:stretch>
                      <a:fillRect/>
                    </a:stretch>
                  </pic:blipFill>
                  <pic:spPr>
                    <a:xfrm>
                      <a:off x="0" y="0"/>
                      <a:ext cx="5034280" cy="7247255"/>
                    </a:xfrm>
                    <a:prstGeom prst="rect">
                      <a:avLst/>
                    </a:prstGeom>
                  </pic:spPr>
                </pic:pic>
              </a:graphicData>
            </a:graphic>
          </wp:inline>
        </w:drawing>
      </w:r>
    </w:p>
    <w:p w14:paraId="54D2A97F">
      <w:pPr>
        <w:topLinePunct/>
        <w:jc w:val="center"/>
        <w:rPr>
          <w:rFonts w:eastAsia="方正仿宋_GBK"/>
          <w:color w:val="000000"/>
        </w:rPr>
        <w:sectPr>
          <w:pgSz w:w="11906" w:h="16838"/>
          <w:pgMar w:top="2098" w:right="1531" w:bottom="1985" w:left="1531" w:header="709" w:footer="1418" w:gutter="0"/>
          <w:cols w:space="425" w:num="1"/>
          <w:docGrid w:type="linesAndChars" w:linePitch="579" w:charSpace="-849"/>
        </w:sectPr>
      </w:pPr>
    </w:p>
    <w:p w14:paraId="62FCA319">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-4</w:t>
      </w:r>
    </w:p>
    <w:p w14:paraId="7810634A">
      <w:pPr>
        <w:topLinePunct/>
        <w:jc w:val="left"/>
        <w:outlineLvl w:val="0"/>
        <w:rPr>
          <w:rStyle w:val="28"/>
          <w:rFonts w:hint="eastAsia"/>
          <w:b w:val="0"/>
          <w:sz w:val="32"/>
          <w:szCs w:val="32"/>
          <w:lang w:val="en-US"/>
        </w:rPr>
      </w:pPr>
    </w:p>
    <w:p w14:paraId="4940DD6B">
      <w:pPr>
        <w:topLinePunct/>
        <w:jc w:val="left"/>
        <w:outlineLvl w:val="0"/>
        <w:rPr>
          <w:rFonts w:hint="eastAsia" w:eastAsia="方正仿宋_GBK"/>
          <w:lang w:eastAsia="zh-CN"/>
        </w:rPr>
        <w:sectPr>
          <w:pgSz w:w="11906" w:h="16838"/>
          <w:pgMar w:top="2098" w:right="1531" w:bottom="1985" w:left="1531" w:header="709" w:footer="1418" w:gutter="0"/>
          <w:cols w:space="425" w:num="1"/>
          <w:docGrid w:type="linesAndChars" w:linePitch="579" w:charSpace="-849"/>
        </w:sectPr>
      </w:pPr>
      <w:r>
        <w:rPr>
          <w:rFonts w:hint="eastAsia" w:eastAsia="方正仿宋_GBK"/>
          <w:lang w:eastAsia="zh-CN"/>
        </w:rPr>
        <w:drawing>
          <wp:inline distT="0" distB="0" distL="114300" distR="114300">
            <wp:extent cx="5615305" cy="6292850"/>
            <wp:effectExtent l="0" t="0" r="4445" b="1270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16"/>
                    <a:stretch>
                      <a:fillRect/>
                    </a:stretch>
                  </pic:blipFill>
                  <pic:spPr>
                    <a:xfrm>
                      <a:off x="0" y="0"/>
                      <a:ext cx="5615305" cy="6292850"/>
                    </a:xfrm>
                    <a:prstGeom prst="rect">
                      <a:avLst/>
                    </a:prstGeom>
                  </pic:spPr>
                </pic:pic>
              </a:graphicData>
            </a:graphic>
          </wp:inline>
        </w:drawing>
      </w:r>
    </w:p>
    <w:p w14:paraId="61F7B558">
      <w:pPr>
        <w:topLinePunct/>
        <w:jc w:val="left"/>
        <w:outlineLvl w:val="0"/>
        <w:rPr>
          <w:rFonts w:hint="default"/>
          <w:lang w:val="en-US"/>
        </w:rPr>
      </w:pPr>
      <w:r>
        <w:rPr>
          <w:rStyle w:val="28"/>
          <w:rFonts w:hint="eastAsia" w:eastAsia="方正仿宋_GBK"/>
          <w:b w:val="0"/>
          <w:sz w:val="32"/>
          <w:szCs w:val="32"/>
        </w:rPr>
        <w:t>附件1</w:t>
      </w:r>
      <w:r>
        <w:rPr>
          <w:rStyle w:val="28"/>
          <w:rFonts w:hint="eastAsia"/>
          <w:b w:val="0"/>
          <w:sz w:val="32"/>
          <w:szCs w:val="32"/>
          <w:lang w:val="en-US"/>
        </w:rPr>
        <w:t>-5</w:t>
      </w:r>
    </w:p>
    <w:p w14:paraId="0803F171">
      <w:pPr>
        <w:topLinePunct/>
        <w:jc w:val="left"/>
        <w:outlineLvl w:val="0"/>
        <w:rPr>
          <w:rFonts w:hint="eastAsia" w:eastAsia="方正仿宋_GBK"/>
          <w:lang w:eastAsia="zh-CN"/>
        </w:rPr>
        <w:sectPr>
          <w:pgSz w:w="11906" w:h="16838"/>
          <w:pgMar w:top="2098" w:right="1531" w:bottom="1985" w:left="1531" w:header="709" w:footer="1418" w:gutter="0"/>
          <w:cols w:space="425" w:num="1"/>
          <w:docGrid w:type="linesAndChars" w:linePitch="579" w:charSpace="-849"/>
        </w:sectPr>
      </w:pPr>
      <w:r>
        <w:rPr>
          <w:rFonts w:hint="eastAsia" w:eastAsia="方正仿宋_GBK"/>
          <w:lang w:eastAsia="zh-CN"/>
        </w:rPr>
        <w:drawing>
          <wp:inline distT="0" distB="0" distL="114300" distR="114300">
            <wp:extent cx="5613400" cy="6913245"/>
            <wp:effectExtent l="0" t="0" r="6350" b="1905"/>
            <wp:docPr id="5"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
                    <pic:cNvPicPr>
                      <a:picLocks noChangeAspect="1"/>
                    </pic:cNvPicPr>
                  </pic:nvPicPr>
                  <pic:blipFill>
                    <a:blip r:embed="rId17"/>
                    <a:stretch>
                      <a:fillRect/>
                    </a:stretch>
                  </pic:blipFill>
                  <pic:spPr>
                    <a:xfrm>
                      <a:off x="0" y="0"/>
                      <a:ext cx="5613400" cy="6913245"/>
                    </a:xfrm>
                    <a:prstGeom prst="rect">
                      <a:avLst/>
                    </a:prstGeom>
                  </pic:spPr>
                </pic:pic>
              </a:graphicData>
            </a:graphic>
          </wp:inline>
        </w:drawing>
      </w:r>
    </w:p>
    <w:p w14:paraId="616C6F01">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-6</w:t>
      </w:r>
    </w:p>
    <w:p w14:paraId="389AE19E">
      <w:pPr>
        <w:topLinePunct/>
        <w:jc w:val="left"/>
        <w:outlineLvl w:val="0"/>
        <w:rPr>
          <w:rStyle w:val="28"/>
          <w:rFonts w:hint="eastAsia"/>
          <w:b w:val="0"/>
          <w:sz w:val="32"/>
          <w:szCs w:val="32"/>
          <w:lang w:val="en-US"/>
        </w:rPr>
      </w:pPr>
    </w:p>
    <w:p w14:paraId="60EEFEE3">
      <w:pPr>
        <w:topLinePunct/>
        <w:jc w:val="left"/>
        <w:outlineLvl w:val="0"/>
        <w:rPr>
          <w:rStyle w:val="28"/>
          <w:rFonts w:hint="default"/>
          <w:b w:val="0"/>
          <w:sz w:val="32"/>
          <w:szCs w:val="32"/>
          <w:lang w:val="en-US" w:eastAsia="zh-CN"/>
        </w:rPr>
        <w:sectPr>
          <w:pgSz w:w="11906" w:h="16838"/>
          <w:pgMar w:top="2098" w:right="1531" w:bottom="1985" w:left="1531" w:header="709" w:footer="1418" w:gutter="0"/>
          <w:cols w:space="425" w:num="1"/>
          <w:docGrid w:type="linesAndChars" w:linePitch="579" w:charSpace="-849"/>
        </w:sectPr>
      </w:pPr>
      <w:r>
        <w:rPr>
          <w:rStyle w:val="28"/>
          <w:rFonts w:hint="default"/>
          <w:b w:val="0"/>
          <w:sz w:val="32"/>
          <w:szCs w:val="32"/>
          <w:lang w:val="en-US" w:eastAsia="zh-CN"/>
        </w:rPr>
        <w:drawing>
          <wp:inline distT="0" distB="0" distL="114300" distR="114300">
            <wp:extent cx="5467350" cy="6819265"/>
            <wp:effectExtent l="0" t="0" r="0" b="635"/>
            <wp:docPr id="6"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
                    <pic:cNvPicPr>
                      <a:picLocks noChangeAspect="1"/>
                    </pic:cNvPicPr>
                  </pic:nvPicPr>
                  <pic:blipFill>
                    <a:blip r:embed="rId18"/>
                    <a:stretch>
                      <a:fillRect/>
                    </a:stretch>
                  </pic:blipFill>
                  <pic:spPr>
                    <a:xfrm>
                      <a:off x="0" y="0"/>
                      <a:ext cx="5467350" cy="6819265"/>
                    </a:xfrm>
                    <a:prstGeom prst="rect">
                      <a:avLst/>
                    </a:prstGeom>
                  </pic:spPr>
                </pic:pic>
              </a:graphicData>
            </a:graphic>
          </wp:inline>
        </w:drawing>
      </w:r>
    </w:p>
    <w:p w14:paraId="55C280F4">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-7</w:t>
      </w:r>
    </w:p>
    <w:p w14:paraId="5875CCF9">
      <w:pPr>
        <w:topLinePunct/>
        <w:jc w:val="left"/>
        <w:outlineLvl w:val="0"/>
        <w:rPr>
          <w:rStyle w:val="28"/>
          <w:rFonts w:hint="eastAsia"/>
          <w:b w:val="0"/>
          <w:sz w:val="32"/>
          <w:szCs w:val="32"/>
          <w:lang w:val="en-US"/>
        </w:rPr>
      </w:pPr>
    </w:p>
    <w:p w14:paraId="4FC038BD">
      <w:pPr>
        <w:topLinePunct/>
        <w:jc w:val="left"/>
        <w:outlineLvl w:val="0"/>
        <w:rPr>
          <w:rFonts w:hint="eastAsia" w:eastAsia="方正仿宋_GBK"/>
          <w:lang w:eastAsia="zh-CN"/>
        </w:rPr>
        <w:sectPr>
          <w:pgSz w:w="11906" w:h="16838"/>
          <w:pgMar w:top="2098" w:right="1531" w:bottom="1985" w:left="1531" w:header="709" w:footer="1418" w:gutter="0"/>
          <w:cols w:space="425" w:num="1"/>
          <w:docGrid w:type="linesAndChars" w:linePitch="579" w:charSpace="-849"/>
        </w:sectPr>
      </w:pPr>
      <w:r>
        <w:rPr>
          <w:rFonts w:hint="eastAsia" w:eastAsia="方正仿宋_GBK"/>
          <w:lang w:eastAsia="zh-CN"/>
        </w:rPr>
        <w:drawing>
          <wp:inline distT="0" distB="0" distL="114300" distR="114300">
            <wp:extent cx="5610225" cy="6709410"/>
            <wp:effectExtent l="0" t="0" r="9525" b="15240"/>
            <wp:docPr id="7" name="图片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
                    <pic:cNvPicPr>
                      <a:picLocks noChangeAspect="1"/>
                    </pic:cNvPicPr>
                  </pic:nvPicPr>
                  <pic:blipFill>
                    <a:blip r:embed="rId19"/>
                    <a:stretch>
                      <a:fillRect/>
                    </a:stretch>
                  </pic:blipFill>
                  <pic:spPr>
                    <a:xfrm>
                      <a:off x="0" y="0"/>
                      <a:ext cx="5610225" cy="6709410"/>
                    </a:xfrm>
                    <a:prstGeom prst="rect">
                      <a:avLst/>
                    </a:prstGeom>
                  </pic:spPr>
                </pic:pic>
              </a:graphicData>
            </a:graphic>
          </wp:inline>
        </w:drawing>
      </w:r>
    </w:p>
    <w:p w14:paraId="7CE1AFC3">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-8</w:t>
      </w:r>
    </w:p>
    <w:p w14:paraId="35579372">
      <w:pPr>
        <w:topLinePunct/>
        <w:jc w:val="left"/>
        <w:outlineLvl w:val="0"/>
        <w:rPr>
          <w:rStyle w:val="28"/>
          <w:rFonts w:hint="eastAsia"/>
          <w:b w:val="0"/>
          <w:sz w:val="32"/>
          <w:szCs w:val="32"/>
          <w:lang w:val="en-US"/>
        </w:rPr>
      </w:pPr>
    </w:p>
    <w:p w14:paraId="1A483AEF">
      <w:pPr>
        <w:topLinePunct/>
        <w:jc w:val="left"/>
        <w:outlineLvl w:val="0"/>
        <w:rPr>
          <w:rFonts w:hint="eastAsia" w:eastAsia="方正仿宋_GBK"/>
          <w:lang w:eastAsia="zh-CN"/>
        </w:rPr>
        <w:sectPr>
          <w:pgSz w:w="11906" w:h="16838"/>
          <w:pgMar w:top="2098" w:right="1531" w:bottom="1985" w:left="1531" w:header="709" w:footer="1418" w:gutter="0"/>
          <w:cols w:space="425" w:num="1"/>
          <w:docGrid w:type="linesAndChars" w:linePitch="579" w:charSpace="-849"/>
        </w:sectPr>
      </w:pPr>
      <w:r>
        <w:rPr>
          <w:rFonts w:hint="eastAsia" w:eastAsia="方正仿宋_GBK"/>
          <w:lang w:eastAsia="zh-CN"/>
        </w:rPr>
        <w:drawing>
          <wp:inline distT="0" distB="0" distL="114300" distR="114300">
            <wp:extent cx="5615940" cy="6680200"/>
            <wp:effectExtent l="0" t="0" r="3810" b="6350"/>
            <wp:docPr id="8" name="图片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
                    <pic:cNvPicPr>
                      <a:picLocks noChangeAspect="1"/>
                    </pic:cNvPicPr>
                  </pic:nvPicPr>
                  <pic:blipFill>
                    <a:blip r:embed="rId20"/>
                    <a:stretch>
                      <a:fillRect/>
                    </a:stretch>
                  </pic:blipFill>
                  <pic:spPr>
                    <a:xfrm>
                      <a:off x="0" y="0"/>
                      <a:ext cx="5615940" cy="6680200"/>
                    </a:xfrm>
                    <a:prstGeom prst="rect">
                      <a:avLst/>
                    </a:prstGeom>
                  </pic:spPr>
                </pic:pic>
              </a:graphicData>
            </a:graphic>
          </wp:inline>
        </w:drawing>
      </w:r>
    </w:p>
    <w:p w14:paraId="794BC350">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-9</w:t>
      </w:r>
    </w:p>
    <w:p w14:paraId="116195E7">
      <w:pPr>
        <w:topLinePunct/>
        <w:jc w:val="left"/>
        <w:outlineLvl w:val="0"/>
        <w:rPr>
          <w:rStyle w:val="28"/>
          <w:rFonts w:hint="eastAsia"/>
          <w:b w:val="0"/>
          <w:sz w:val="32"/>
          <w:szCs w:val="32"/>
          <w:lang w:val="en-US"/>
        </w:rPr>
      </w:pPr>
    </w:p>
    <w:p w14:paraId="186FEEE8">
      <w:pPr>
        <w:topLinePunct/>
        <w:jc w:val="left"/>
        <w:outlineLvl w:val="0"/>
        <w:rPr>
          <w:rStyle w:val="28"/>
          <w:rFonts w:hint="default"/>
          <w:b w:val="0"/>
          <w:sz w:val="32"/>
          <w:szCs w:val="32"/>
          <w:lang w:val="en-US" w:eastAsia="zh-CN"/>
        </w:rPr>
        <w:sectPr>
          <w:pgSz w:w="11906" w:h="16838"/>
          <w:pgMar w:top="2098" w:right="1531" w:bottom="1985" w:left="1531" w:header="709" w:footer="1418" w:gutter="0"/>
          <w:cols w:space="425" w:num="1"/>
          <w:docGrid w:type="linesAndChars" w:linePitch="579" w:charSpace="-849"/>
        </w:sectPr>
      </w:pPr>
      <w:r>
        <w:rPr>
          <w:rStyle w:val="28"/>
          <w:rFonts w:hint="default"/>
          <w:b w:val="0"/>
          <w:sz w:val="32"/>
          <w:szCs w:val="32"/>
          <w:lang w:val="en-US" w:eastAsia="zh-CN"/>
        </w:rPr>
        <w:drawing>
          <wp:inline distT="0" distB="0" distL="114300" distR="114300">
            <wp:extent cx="5613400" cy="7260590"/>
            <wp:effectExtent l="0" t="0" r="6350" b="16510"/>
            <wp:docPr id="9" name="图片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
                    <pic:cNvPicPr>
                      <a:picLocks noChangeAspect="1"/>
                    </pic:cNvPicPr>
                  </pic:nvPicPr>
                  <pic:blipFill>
                    <a:blip r:embed="rId21"/>
                    <a:stretch>
                      <a:fillRect/>
                    </a:stretch>
                  </pic:blipFill>
                  <pic:spPr>
                    <a:xfrm>
                      <a:off x="0" y="0"/>
                      <a:ext cx="5613400" cy="7260590"/>
                    </a:xfrm>
                    <a:prstGeom prst="rect">
                      <a:avLst/>
                    </a:prstGeom>
                  </pic:spPr>
                </pic:pic>
              </a:graphicData>
            </a:graphic>
          </wp:inline>
        </w:drawing>
      </w:r>
    </w:p>
    <w:p w14:paraId="36001FC3">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-10</w:t>
      </w:r>
    </w:p>
    <w:p w14:paraId="321DE848">
      <w:pPr>
        <w:topLinePunct/>
        <w:jc w:val="left"/>
        <w:outlineLvl w:val="0"/>
        <w:rPr>
          <w:rStyle w:val="28"/>
          <w:rFonts w:hint="eastAsia"/>
          <w:b w:val="0"/>
          <w:sz w:val="32"/>
          <w:szCs w:val="32"/>
          <w:lang w:val="en-US"/>
        </w:rPr>
      </w:pPr>
    </w:p>
    <w:p w14:paraId="1BAEBD9C">
      <w:pPr>
        <w:topLinePunct/>
        <w:jc w:val="left"/>
        <w:outlineLvl w:val="0"/>
        <w:rPr>
          <w:rStyle w:val="28"/>
          <w:rFonts w:hint="default"/>
          <w:b w:val="0"/>
          <w:sz w:val="32"/>
          <w:szCs w:val="32"/>
          <w:lang w:val="en-US" w:eastAsia="zh-CN"/>
        </w:rPr>
        <w:sectPr>
          <w:pgSz w:w="11906" w:h="16838"/>
          <w:pgMar w:top="2098" w:right="1531" w:bottom="1985" w:left="1531" w:header="709" w:footer="1418" w:gutter="0"/>
          <w:cols w:space="425" w:num="1"/>
          <w:docGrid w:type="linesAndChars" w:linePitch="579" w:charSpace="-849"/>
        </w:sectPr>
      </w:pPr>
      <w:r>
        <w:rPr>
          <w:rStyle w:val="28"/>
          <w:rFonts w:hint="default"/>
          <w:b w:val="0"/>
          <w:sz w:val="32"/>
          <w:szCs w:val="32"/>
          <w:lang w:val="en-US" w:eastAsia="zh-CN"/>
        </w:rPr>
        <w:drawing>
          <wp:inline distT="0" distB="0" distL="114300" distR="114300">
            <wp:extent cx="5615305" cy="6874510"/>
            <wp:effectExtent l="0" t="0" r="4445" b="2540"/>
            <wp:docPr id="10" name="图片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0"/>
                    <pic:cNvPicPr>
                      <a:picLocks noChangeAspect="1"/>
                    </pic:cNvPicPr>
                  </pic:nvPicPr>
                  <pic:blipFill>
                    <a:blip r:embed="rId22"/>
                    <a:stretch>
                      <a:fillRect/>
                    </a:stretch>
                  </pic:blipFill>
                  <pic:spPr>
                    <a:xfrm>
                      <a:off x="0" y="0"/>
                      <a:ext cx="5615305" cy="6874510"/>
                    </a:xfrm>
                    <a:prstGeom prst="rect">
                      <a:avLst/>
                    </a:prstGeom>
                  </pic:spPr>
                </pic:pic>
              </a:graphicData>
            </a:graphic>
          </wp:inline>
        </w:drawing>
      </w:r>
    </w:p>
    <w:p w14:paraId="69130F71">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-11</w:t>
      </w:r>
    </w:p>
    <w:p w14:paraId="4B331C9A">
      <w:pPr>
        <w:topLinePunct/>
        <w:jc w:val="left"/>
        <w:outlineLvl w:val="0"/>
        <w:rPr>
          <w:rStyle w:val="28"/>
          <w:rFonts w:hint="eastAsia"/>
          <w:b w:val="0"/>
          <w:sz w:val="32"/>
          <w:szCs w:val="32"/>
          <w:lang w:val="en-US"/>
        </w:rPr>
      </w:pPr>
    </w:p>
    <w:p w14:paraId="621283A1">
      <w:pPr>
        <w:topLinePunct/>
        <w:jc w:val="left"/>
        <w:outlineLvl w:val="0"/>
        <w:rPr>
          <w:rStyle w:val="28"/>
          <w:rFonts w:hint="default"/>
          <w:b w:val="0"/>
          <w:sz w:val="32"/>
          <w:szCs w:val="32"/>
          <w:lang w:val="en-US" w:eastAsia="zh-CN"/>
        </w:rPr>
        <w:sectPr>
          <w:pgSz w:w="11906" w:h="16838"/>
          <w:pgMar w:top="2098" w:right="1531" w:bottom="1985" w:left="1531" w:header="709" w:footer="1418" w:gutter="0"/>
          <w:cols w:space="425" w:num="1"/>
          <w:docGrid w:type="linesAndChars" w:linePitch="579" w:charSpace="-849"/>
        </w:sectPr>
      </w:pPr>
      <w:r>
        <w:rPr>
          <w:rStyle w:val="28"/>
          <w:rFonts w:hint="default"/>
          <w:b w:val="0"/>
          <w:sz w:val="32"/>
          <w:szCs w:val="32"/>
          <w:lang w:val="en-US" w:eastAsia="zh-CN"/>
        </w:rPr>
        <w:drawing>
          <wp:inline distT="0" distB="0" distL="114300" distR="114300">
            <wp:extent cx="5610860" cy="7080885"/>
            <wp:effectExtent l="0" t="0" r="8890" b="5715"/>
            <wp:docPr id="11" name="图片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1"/>
                    <pic:cNvPicPr>
                      <a:picLocks noChangeAspect="1"/>
                    </pic:cNvPicPr>
                  </pic:nvPicPr>
                  <pic:blipFill>
                    <a:blip r:embed="rId23"/>
                    <a:stretch>
                      <a:fillRect/>
                    </a:stretch>
                  </pic:blipFill>
                  <pic:spPr>
                    <a:xfrm>
                      <a:off x="0" y="0"/>
                      <a:ext cx="5610860" cy="7080885"/>
                    </a:xfrm>
                    <a:prstGeom prst="rect">
                      <a:avLst/>
                    </a:prstGeom>
                  </pic:spPr>
                </pic:pic>
              </a:graphicData>
            </a:graphic>
          </wp:inline>
        </w:drawing>
      </w:r>
    </w:p>
    <w:p w14:paraId="7D49C7E9">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-12</w:t>
      </w:r>
    </w:p>
    <w:p w14:paraId="3DC46D9B">
      <w:pPr>
        <w:topLinePunct/>
        <w:jc w:val="left"/>
        <w:outlineLvl w:val="0"/>
        <w:rPr>
          <w:rStyle w:val="28"/>
          <w:rFonts w:hint="eastAsia"/>
          <w:b w:val="0"/>
          <w:sz w:val="32"/>
          <w:szCs w:val="32"/>
          <w:lang w:val="en-US"/>
        </w:rPr>
      </w:pPr>
    </w:p>
    <w:p w14:paraId="2B5B9663">
      <w:pPr>
        <w:topLinePunct/>
        <w:jc w:val="left"/>
        <w:outlineLvl w:val="0"/>
        <w:rPr>
          <w:rFonts w:hint="eastAsia" w:eastAsia="方正仿宋_GBK"/>
          <w:lang w:eastAsia="zh-CN"/>
        </w:rPr>
        <w:sectPr>
          <w:pgSz w:w="11906" w:h="16838"/>
          <w:pgMar w:top="2098" w:right="1531" w:bottom="1985" w:left="1531" w:header="709" w:footer="1418" w:gutter="0"/>
          <w:cols w:space="425" w:num="1"/>
          <w:docGrid w:type="linesAndChars" w:linePitch="579" w:charSpace="-849"/>
        </w:sectPr>
      </w:pPr>
      <w:r>
        <w:rPr>
          <w:rFonts w:hint="eastAsia" w:eastAsia="方正仿宋_GBK"/>
          <w:lang w:eastAsia="zh-CN"/>
        </w:rPr>
        <w:drawing>
          <wp:inline distT="0" distB="0" distL="114300" distR="114300">
            <wp:extent cx="5615305" cy="6944995"/>
            <wp:effectExtent l="0" t="0" r="4445" b="8255"/>
            <wp:docPr id="12" name="图片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2"/>
                    <pic:cNvPicPr>
                      <a:picLocks noChangeAspect="1"/>
                    </pic:cNvPicPr>
                  </pic:nvPicPr>
                  <pic:blipFill>
                    <a:blip r:embed="rId24"/>
                    <a:stretch>
                      <a:fillRect/>
                    </a:stretch>
                  </pic:blipFill>
                  <pic:spPr>
                    <a:xfrm>
                      <a:off x="0" y="0"/>
                      <a:ext cx="5615305" cy="6944995"/>
                    </a:xfrm>
                    <a:prstGeom prst="rect">
                      <a:avLst/>
                    </a:prstGeom>
                  </pic:spPr>
                </pic:pic>
              </a:graphicData>
            </a:graphic>
          </wp:inline>
        </w:drawing>
      </w:r>
    </w:p>
    <w:p w14:paraId="0E924793">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-13</w:t>
      </w:r>
    </w:p>
    <w:p w14:paraId="1E32707F">
      <w:pPr>
        <w:topLinePunct/>
        <w:jc w:val="left"/>
        <w:outlineLvl w:val="0"/>
        <w:rPr>
          <w:rStyle w:val="28"/>
          <w:rFonts w:hint="eastAsia"/>
          <w:b w:val="0"/>
          <w:sz w:val="32"/>
          <w:szCs w:val="32"/>
          <w:lang w:val="en-US"/>
        </w:rPr>
      </w:pPr>
    </w:p>
    <w:p w14:paraId="546A2129">
      <w:pPr>
        <w:topLinePunct/>
        <w:jc w:val="left"/>
        <w:outlineLvl w:val="0"/>
        <w:rPr>
          <w:rStyle w:val="28"/>
          <w:rFonts w:hint="default"/>
          <w:b w:val="0"/>
          <w:sz w:val="32"/>
          <w:szCs w:val="32"/>
          <w:lang w:val="en-US" w:eastAsia="zh-CN"/>
        </w:rPr>
        <w:sectPr>
          <w:pgSz w:w="11906" w:h="16838"/>
          <w:pgMar w:top="2098" w:right="1531" w:bottom="1985" w:left="1531" w:header="709" w:footer="1418" w:gutter="0"/>
          <w:cols w:space="425" w:num="1"/>
          <w:docGrid w:type="linesAndChars" w:linePitch="579" w:charSpace="-849"/>
        </w:sectPr>
      </w:pPr>
      <w:r>
        <w:rPr>
          <w:rStyle w:val="28"/>
          <w:rFonts w:hint="default"/>
          <w:b w:val="0"/>
          <w:sz w:val="32"/>
          <w:szCs w:val="32"/>
          <w:lang w:val="en-US" w:eastAsia="zh-CN"/>
        </w:rPr>
        <w:drawing>
          <wp:inline distT="0" distB="0" distL="114300" distR="114300">
            <wp:extent cx="5610860" cy="7138035"/>
            <wp:effectExtent l="0" t="0" r="8890" b="5715"/>
            <wp:docPr id="13" name="图片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3"/>
                    <pic:cNvPicPr>
                      <a:picLocks noChangeAspect="1"/>
                    </pic:cNvPicPr>
                  </pic:nvPicPr>
                  <pic:blipFill>
                    <a:blip r:embed="rId25"/>
                    <a:stretch>
                      <a:fillRect/>
                    </a:stretch>
                  </pic:blipFill>
                  <pic:spPr>
                    <a:xfrm>
                      <a:off x="0" y="0"/>
                      <a:ext cx="5610860" cy="7138035"/>
                    </a:xfrm>
                    <a:prstGeom prst="rect">
                      <a:avLst/>
                    </a:prstGeom>
                  </pic:spPr>
                </pic:pic>
              </a:graphicData>
            </a:graphic>
          </wp:inline>
        </w:drawing>
      </w:r>
    </w:p>
    <w:p w14:paraId="66C31203">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-14</w:t>
      </w:r>
    </w:p>
    <w:p w14:paraId="2B6F077B">
      <w:pPr>
        <w:topLinePunct/>
        <w:jc w:val="left"/>
        <w:outlineLvl w:val="0"/>
        <w:rPr>
          <w:rStyle w:val="28"/>
          <w:rFonts w:hint="eastAsia"/>
          <w:b w:val="0"/>
          <w:sz w:val="32"/>
          <w:szCs w:val="32"/>
          <w:lang w:val="en-US"/>
        </w:rPr>
      </w:pPr>
    </w:p>
    <w:p w14:paraId="498D66DA">
      <w:pPr>
        <w:topLinePunct/>
        <w:jc w:val="left"/>
        <w:outlineLvl w:val="0"/>
        <w:rPr>
          <w:rFonts w:hint="eastAsia" w:eastAsia="方正仿宋_GBK"/>
          <w:lang w:eastAsia="zh-CN"/>
        </w:rPr>
        <w:sectPr>
          <w:pgSz w:w="11906" w:h="16838"/>
          <w:pgMar w:top="2098" w:right="1531" w:bottom="1985" w:left="1531" w:header="709" w:footer="1418" w:gutter="0"/>
          <w:cols w:space="425" w:num="1"/>
          <w:docGrid w:type="linesAndChars" w:linePitch="579" w:charSpace="-849"/>
        </w:sectPr>
      </w:pPr>
      <w:r>
        <w:rPr>
          <w:rFonts w:hint="eastAsia" w:eastAsia="方正仿宋_GBK"/>
          <w:lang w:eastAsia="zh-CN"/>
        </w:rPr>
        <w:drawing>
          <wp:inline distT="0" distB="0" distL="114300" distR="114300">
            <wp:extent cx="5610225" cy="7219315"/>
            <wp:effectExtent l="0" t="0" r="9525" b="635"/>
            <wp:docPr id="14" name="图片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4"/>
                    <pic:cNvPicPr>
                      <a:picLocks noChangeAspect="1"/>
                    </pic:cNvPicPr>
                  </pic:nvPicPr>
                  <pic:blipFill>
                    <a:blip r:embed="rId26"/>
                    <a:stretch>
                      <a:fillRect/>
                    </a:stretch>
                  </pic:blipFill>
                  <pic:spPr>
                    <a:xfrm>
                      <a:off x="0" y="0"/>
                      <a:ext cx="5610225" cy="7219315"/>
                    </a:xfrm>
                    <a:prstGeom prst="rect">
                      <a:avLst/>
                    </a:prstGeom>
                  </pic:spPr>
                </pic:pic>
              </a:graphicData>
            </a:graphic>
          </wp:inline>
        </w:drawing>
      </w:r>
    </w:p>
    <w:p w14:paraId="79C9D153">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-15</w:t>
      </w:r>
    </w:p>
    <w:p w14:paraId="28893700">
      <w:pPr>
        <w:topLinePunct/>
        <w:jc w:val="left"/>
        <w:outlineLvl w:val="0"/>
        <w:rPr>
          <w:rStyle w:val="28"/>
          <w:rFonts w:hint="eastAsia"/>
          <w:b w:val="0"/>
          <w:sz w:val="32"/>
          <w:szCs w:val="32"/>
          <w:lang w:val="en-US"/>
        </w:rPr>
      </w:pPr>
    </w:p>
    <w:p w14:paraId="3A8846F5">
      <w:pPr>
        <w:topLinePunct/>
        <w:jc w:val="left"/>
        <w:outlineLvl w:val="0"/>
        <w:rPr>
          <w:rStyle w:val="28"/>
          <w:rFonts w:hint="default"/>
          <w:b w:val="0"/>
          <w:sz w:val="32"/>
          <w:szCs w:val="32"/>
          <w:lang w:val="en-US" w:eastAsia="zh-CN"/>
        </w:rPr>
        <w:sectPr>
          <w:pgSz w:w="11906" w:h="16838"/>
          <w:pgMar w:top="2098" w:right="1531" w:bottom="1985" w:left="1531" w:header="709" w:footer="1418" w:gutter="0"/>
          <w:cols w:space="425" w:num="1"/>
          <w:docGrid w:type="linesAndChars" w:linePitch="579" w:charSpace="-849"/>
        </w:sectPr>
      </w:pPr>
      <w:r>
        <w:rPr>
          <w:rStyle w:val="28"/>
          <w:rFonts w:hint="default"/>
          <w:b w:val="0"/>
          <w:sz w:val="32"/>
          <w:szCs w:val="32"/>
          <w:lang w:val="en-US" w:eastAsia="zh-CN"/>
        </w:rPr>
        <w:drawing>
          <wp:inline distT="0" distB="0" distL="114300" distR="114300">
            <wp:extent cx="5610860" cy="7185025"/>
            <wp:effectExtent l="0" t="0" r="8890" b="15875"/>
            <wp:docPr id="15" name="图片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5"/>
                    <pic:cNvPicPr>
                      <a:picLocks noChangeAspect="1"/>
                    </pic:cNvPicPr>
                  </pic:nvPicPr>
                  <pic:blipFill>
                    <a:blip r:embed="rId27"/>
                    <a:stretch>
                      <a:fillRect/>
                    </a:stretch>
                  </pic:blipFill>
                  <pic:spPr>
                    <a:xfrm>
                      <a:off x="0" y="0"/>
                      <a:ext cx="5610860" cy="7185025"/>
                    </a:xfrm>
                    <a:prstGeom prst="rect">
                      <a:avLst/>
                    </a:prstGeom>
                  </pic:spPr>
                </pic:pic>
              </a:graphicData>
            </a:graphic>
          </wp:inline>
        </w:drawing>
      </w:r>
    </w:p>
    <w:p w14:paraId="66E5490A">
      <w:pPr>
        <w:topLinePunct/>
        <w:jc w:val="left"/>
        <w:outlineLvl w:val="0"/>
        <w:rPr>
          <w:rStyle w:val="28"/>
          <w:rFonts w:hint="eastAsia"/>
          <w:b w:val="0"/>
          <w:sz w:val="32"/>
          <w:szCs w:val="32"/>
          <w:lang w:val="en-US"/>
        </w:rPr>
      </w:pPr>
      <w:r>
        <w:rPr>
          <w:rStyle w:val="28"/>
          <w:rFonts w:hint="eastAsia" w:eastAsia="方正仿宋_GBK"/>
          <w:b w:val="0"/>
          <w:sz w:val="32"/>
          <w:szCs w:val="32"/>
        </w:rPr>
        <w:t>附件1</w:t>
      </w:r>
      <w:r>
        <w:rPr>
          <w:rStyle w:val="28"/>
          <w:rFonts w:hint="eastAsia"/>
          <w:b w:val="0"/>
          <w:sz w:val="32"/>
          <w:szCs w:val="32"/>
          <w:lang w:val="en-US"/>
        </w:rPr>
        <w:t>-16</w:t>
      </w:r>
    </w:p>
    <w:p w14:paraId="4A4DAF83">
      <w:pPr>
        <w:topLinePunct/>
        <w:jc w:val="left"/>
        <w:outlineLvl w:val="0"/>
        <w:rPr>
          <w:rStyle w:val="28"/>
          <w:rFonts w:hint="default"/>
          <w:b w:val="0"/>
          <w:sz w:val="32"/>
          <w:szCs w:val="32"/>
          <w:lang w:val="en-US" w:eastAsia="zh-CN"/>
        </w:rPr>
      </w:pPr>
      <w:r>
        <w:rPr>
          <w:rStyle w:val="28"/>
          <w:rFonts w:hint="default"/>
          <w:b w:val="0"/>
          <w:sz w:val="32"/>
          <w:szCs w:val="32"/>
          <w:lang w:val="en-US" w:eastAsia="zh-CN"/>
        </w:rPr>
        <w:drawing>
          <wp:inline distT="0" distB="0" distL="114300" distR="114300">
            <wp:extent cx="5614035" cy="7197725"/>
            <wp:effectExtent l="0" t="0" r="5715" b="3175"/>
            <wp:docPr id="16" name="图片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
                    <pic:cNvPicPr>
                      <a:picLocks noChangeAspect="1"/>
                    </pic:cNvPicPr>
                  </pic:nvPicPr>
                  <pic:blipFill>
                    <a:blip r:embed="rId28"/>
                    <a:stretch>
                      <a:fillRect/>
                    </a:stretch>
                  </pic:blipFill>
                  <pic:spPr>
                    <a:xfrm>
                      <a:off x="0" y="0"/>
                      <a:ext cx="5614035" cy="7197725"/>
                    </a:xfrm>
                    <a:prstGeom prst="rect">
                      <a:avLst/>
                    </a:prstGeom>
                  </pic:spPr>
                </pic:pic>
              </a:graphicData>
            </a:graphic>
          </wp:inline>
        </w:drawing>
      </w:r>
    </w:p>
    <w:p w14:paraId="4B07B65E">
      <w:pPr>
        <w:pStyle w:val="26"/>
        <w:rPr>
          <w:rStyle w:val="28"/>
          <w:rFonts w:hint="default"/>
          <w:b w:val="0"/>
          <w:sz w:val="32"/>
          <w:szCs w:val="32"/>
          <w:lang w:val="en-US" w:eastAsia="zh-CN"/>
        </w:rPr>
        <w:sectPr>
          <w:pgSz w:w="11906" w:h="16838"/>
          <w:pgMar w:top="2098" w:right="1531" w:bottom="1985" w:left="1531" w:header="709" w:footer="1418" w:gutter="0"/>
          <w:cols w:space="425" w:num="1"/>
          <w:docGrid w:type="linesAndChars" w:linePitch="579" w:charSpace="-849"/>
        </w:sectPr>
      </w:pPr>
    </w:p>
    <w:p w14:paraId="78B46DF8">
      <w:pPr>
        <w:topLinePunct/>
        <w:jc w:val="left"/>
        <w:outlineLvl w:val="0"/>
        <w:rPr>
          <w:rFonts w:hint="default"/>
          <w:lang w:val="en-US" w:eastAsia="zh-CN"/>
        </w:rPr>
      </w:pPr>
      <w:r>
        <w:rPr>
          <w:rStyle w:val="28"/>
          <w:rFonts w:hint="eastAsia" w:eastAsia="方正仿宋_GBK"/>
          <w:b w:val="0"/>
          <w:sz w:val="32"/>
          <w:szCs w:val="32"/>
        </w:rPr>
        <w:t>附件1</w:t>
      </w:r>
      <w:r>
        <w:rPr>
          <w:rStyle w:val="28"/>
          <w:rFonts w:hint="eastAsia"/>
          <w:b w:val="0"/>
          <w:sz w:val="32"/>
          <w:szCs w:val="32"/>
          <w:lang w:val="en-US"/>
        </w:rPr>
        <w:t>-17</w:t>
      </w:r>
    </w:p>
    <w:p w14:paraId="77EA7405">
      <w:pPr>
        <w:rPr>
          <w:rFonts w:hint="default"/>
          <w:lang w:val="en-US" w:eastAsia="zh-CN"/>
        </w:rPr>
        <w:sectPr>
          <w:pgSz w:w="11906" w:h="16838"/>
          <w:pgMar w:top="2098" w:right="1531" w:bottom="1985" w:left="1531" w:header="709" w:footer="1418" w:gutter="0"/>
          <w:cols w:space="425" w:num="1"/>
          <w:docGrid w:type="linesAndChars" w:linePitch="579" w:charSpace="-849"/>
        </w:sectPr>
      </w:pPr>
      <w:r>
        <w:rPr>
          <w:rFonts w:hint="default"/>
          <w:lang w:val="en-US" w:eastAsia="zh-CN"/>
        </w:rPr>
        <w:drawing>
          <wp:inline distT="0" distB="0" distL="114300" distR="114300">
            <wp:extent cx="5610860" cy="7090410"/>
            <wp:effectExtent l="0" t="0" r="8890" b="15240"/>
            <wp:docPr id="17" name="图片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
                    <pic:cNvPicPr>
                      <a:picLocks noChangeAspect="1"/>
                    </pic:cNvPicPr>
                  </pic:nvPicPr>
                  <pic:blipFill>
                    <a:blip r:embed="rId29"/>
                    <a:stretch>
                      <a:fillRect/>
                    </a:stretch>
                  </pic:blipFill>
                  <pic:spPr>
                    <a:xfrm>
                      <a:off x="0" y="0"/>
                      <a:ext cx="5610860" cy="7090410"/>
                    </a:xfrm>
                    <a:prstGeom prst="rect">
                      <a:avLst/>
                    </a:prstGeom>
                  </pic:spPr>
                </pic:pic>
              </a:graphicData>
            </a:graphic>
          </wp:inline>
        </w:drawing>
      </w:r>
      <w:r>
        <w:rPr>
          <w:rFonts w:hint="eastAsia"/>
          <w:lang w:val="en-US" w:eastAsia="zh-CN"/>
        </w:rPr>
        <w:t xml:space="preserve"> </w:t>
      </w:r>
    </w:p>
    <w:p w14:paraId="515193E6">
      <w:pPr>
        <w:topLinePunct/>
        <w:jc w:val="center"/>
        <w:outlineLvl w:val="0"/>
        <w:rPr>
          <w:rStyle w:val="49"/>
          <w:rFonts w:ascii="方正黑体_GBK" w:eastAsia="方正黑体_GBK"/>
          <w:b w:val="0"/>
          <w:bCs w:val="0"/>
          <w:sz w:val="32"/>
          <w:szCs w:val="32"/>
        </w:rPr>
      </w:pPr>
      <w:bookmarkStart w:id="48" w:name="_Toc143699702"/>
      <w:r>
        <w:rPr>
          <w:rFonts w:hint="eastAsia" w:ascii="方正黑体_GBK" w:eastAsia="方正黑体_GBK"/>
          <w:color w:val="000000"/>
        </w:rPr>
        <w:t>第</w:t>
      </w:r>
      <w:r>
        <w:rPr>
          <w:rStyle w:val="49"/>
          <w:rFonts w:hint="eastAsia" w:ascii="方正黑体_GBK" w:eastAsia="方正黑体_GBK"/>
          <w:b w:val="0"/>
          <w:bCs w:val="0"/>
          <w:sz w:val="32"/>
          <w:szCs w:val="32"/>
        </w:rPr>
        <w:t>五部分 附  表</w:t>
      </w:r>
      <w:bookmarkEnd w:id="48"/>
    </w:p>
    <w:p w14:paraId="74948D46">
      <w:pPr>
        <w:tabs>
          <w:tab w:val="left" w:pos="7584"/>
        </w:tabs>
        <w:topLinePunct/>
        <w:rPr>
          <w:rFonts w:eastAsia="方正仿宋_GBK"/>
          <w:color w:val="000000"/>
        </w:rPr>
      </w:pPr>
    </w:p>
    <w:p w14:paraId="14B56B00">
      <w:pPr>
        <w:tabs>
          <w:tab w:val="left" w:pos="7584"/>
        </w:tabs>
        <w:topLinePunct/>
        <w:outlineLvl w:val="1"/>
        <w:rPr>
          <w:rFonts w:eastAsia="方正仿宋_GBK"/>
          <w:color w:val="000000"/>
        </w:rPr>
      </w:pPr>
      <w:bookmarkStart w:id="49" w:name="_Toc143699703"/>
      <w:r>
        <w:rPr>
          <w:rFonts w:hint="eastAsia" w:eastAsia="方正仿宋_GBK"/>
          <w:color w:val="000000"/>
        </w:rPr>
        <w:t>一、收入支出决算总表</w:t>
      </w:r>
      <w:bookmarkEnd w:id="49"/>
    </w:p>
    <w:p w14:paraId="0D885617">
      <w:pPr>
        <w:tabs>
          <w:tab w:val="left" w:pos="7584"/>
        </w:tabs>
        <w:topLinePunct/>
        <w:outlineLvl w:val="1"/>
        <w:rPr>
          <w:rFonts w:eastAsia="方正仿宋_GBK"/>
          <w:color w:val="000000"/>
        </w:rPr>
      </w:pPr>
      <w:bookmarkStart w:id="50" w:name="_Toc143699704"/>
      <w:r>
        <w:rPr>
          <w:rFonts w:hint="eastAsia" w:eastAsia="方正仿宋_GBK"/>
          <w:color w:val="000000"/>
        </w:rPr>
        <w:t>二、收入决算表</w:t>
      </w:r>
      <w:bookmarkEnd w:id="50"/>
    </w:p>
    <w:p w14:paraId="542553BC">
      <w:pPr>
        <w:tabs>
          <w:tab w:val="left" w:pos="7584"/>
        </w:tabs>
        <w:topLinePunct/>
        <w:outlineLvl w:val="1"/>
        <w:rPr>
          <w:rFonts w:eastAsia="方正仿宋_GBK"/>
          <w:color w:val="000000"/>
        </w:rPr>
      </w:pPr>
      <w:bookmarkStart w:id="51" w:name="_Toc143699705"/>
      <w:r>
        <w:rPr>
          <w:rFonts w:hint="eastAsia" w:eastAsia="方正仿宋_GBK"/>
          <w:color w:val="000000"/>
        </w:rPr>
        <w:t>三、支出决算表</w:t>
      </w:r>
      <w:bookmarkEnd w:id="51"/>
    </w:p>
    <w:p w14:paraId="69E9B85E">
      <w:pPr>
        <w:tabs>
          <w:tab w:val="left" w:pos="7584"/>
        </w:tabs>
        <w:topLinePunct/>
        <w:outlineLvl w:val="1"/>
        <w:rPr>
          <w:rFonts w:eastAsia="方正仿宋_GBK"/>
          <w:color w:val="000000"/>
        </w:rPr>
      </w:pPr>
      <w:bookmarkStart w:id="52" w:name="_Toc143699706"/>
      <w:r>
        <w:rPr>
          <w:rFonts w:hint="eastAsia" w:eastAsia="方正仿宋_GBK"/>
          <w:color w:val="000000"/>
        </w:rPr>
        <w:t>四、财政拨款收入支出决算总表</w:t>
      </w:r>
      <w:bookmarkEnd w:id="52"/>
    </w:p>
    <w:p w14:paraId="4C692DA6">
      <w:pPr>
        <w:tabs>
          <w:tab w:val="left" w:pos="7584"/>
        </w:tabs>
        <w:topLinePunct/>
        <w:outlineLvl w:val="1"/>
        <w:rPr>
          <w:rFonts w:eastAsia="方正仿宋_GBK"/>
          <w:color w:val="000000"/>
        </w:rPr>
      </w:pPr>
      <w:bookmarkStart w:id="53" w:name="_Toc143699707"/>
      <w:r>
        <w:rPr>
          <w:rFonts w:hint="eastAsia" w:eastAsia="方正仿宋_GBK"/>
          <w:color w:val="000000"/>
        </w:rPr>
        <w:t>五、财政拨款支出决算明细表</w:t>
      </w:r>
      <w:bookmarkEnd w:id="53"/>
    </w:p>
    <w:p w14:paraId="7AD82E80">
      <w:pPr>
        <w:tabs>
          <w:tab w:val="left" w:pos="7584"/>
        </w:tabs>
        <w:topLinePunct/>
        <w:outlineLvl w:val="1"/>
        <w:rPr>
          <w:rFonts w:eastAsia="方正仿宋_GBK"/>
          <w:color w:val="000000"/>
        </w:rPr>
      </w:pPr>
      <w:bookmarkStart w:id="54" w:name="_Toc143699708"/>
      <w:r>
        <w:rPr>
          <w:rFonts w:hint="eastAsia" w:eastAsia="方正仿宋_GBK"/>
          <w:color w:val="000000"/>
        </w:rPr>
        <w:t>六、一般公共预算财政拨款支出决算表</w:t>
      </w:r>
      <w:bookmarkEnd w:id="54"/>
    </w:p>
    <w:p w14:paraId="64053C65">
      <w:pPr>
        <w:tabs>
          <w:tab w:val="left" w:pos="7584"/>
        </w:tabs>
        <w:topLinePunct/>
        <w:outlineLvl w:val="1"/>
        <w:rPr>
          <w:rFonts w:eastAsia="方正仿宋_GBK"/>
          <w:color w:val="000000"/>
        </w:rPr>
      </w:pPr>
      <w:bookmarkStart w:id="55" w:name="_Toc143699709"/>
      <w:r>
        <w:rPr>
          <w:rFonts w:hint="eastAsia" w:eastAsia="方正仿宋_GBK"/>
          <w:color w:val="000000"/>
        </w:rPr>
        <w:t>七、一般公共预算财政拨款支出决算明细表</w:t>
      </w:r>
      <w:bookmarkEnd w:id="55"/>
    </w:p>
    <w:p w14:paraId="043A0472">
      <w:pPr>
        <w:tabs>
          <w:tab w:val="left" w:pos="7584"/>
        </w:tabs>
        <w:topLinePunct/>
        <w:outlineLvl w:val="1"/>
        <w:rPr>
          <w:rFonts w:eastAsia="方正仿宋_GBK"/>
          <w:color w:val="000000"/>
        </w:rPr>
      </w:pPr>
      <w:bookmarkStart w:id="56" w:name="_Toc143699710"/>
      <w:r>
        <w:rPr>
          <w:rFonts w:hint="eastAsia" w:eastAsia="方正仿宋_GBK"/>
          <w:color w:val="000000"/>
        </w:rPr>
        <w:t>八、一般公共预算财政拨款基本支出决算明细表</w:t>
      </w:r>
      <w:bookmarkEnd w:id="56"/>
    </w:p>
    <w:p w14:paraId="5F1BF3B5">
      <w:pPr>
        <w:tabs>
          <w:tab w:val="left" w:pos="7584"/>
        </w:tabs>
        <w:topLinePunct/>
        <w:outlineLvl w:val="1"/>
        <w:rPr>
          <w:rFonts w:eastAsia="方正仿宋_GBK"/>
          <w:color w:val="000000"/>
        </w:rPr>
      </w:pPr>
      <w:bookmarkStart w:id="57" w:name="_Toc143699711"/>
      <w:r>
        <w:rPr>
          <w:rFonts w:hint="eastAsia" w:eastAsia="方正仿宋_GBK"/>
          <w:color w:val="000000"/>
        </w:rPr>
        <w:t>九、一般公共预算财政拨款项目支出决算表</w:t>
      </w:r>
      <w:bookmarkEnd w:id="57"/>
    </w:p>
    <w:p w14:paraId="3CE09D11">
      <w:pPr>
        <w:tabs>
          <w:tab w:val="left" w:pos="7584"/>
        </w:tabs>
        <w:topLinePunct/>
        <w:outlineLvl w:val="1"/>
        <w:rPr>
          <w:rFonts w:eastAsia="方正仿宋_GBK"/>
          <w:color w:val="000000"/>
        </w:rPr>
      </w:pPr>
      <w:bookmarkStart w:id="58" w:name="_Toc143699712"/>
      <w:r>
        <w:rPr>
          <w:rFonts w:hint="eastAsia" w:eastAsia="方正仿宋_GBK"/>
          <w:color w:val="000000"/>
        </w:rPr>
        <w:t>十、政府性基金预算财政拨款收入支出决算表</w:t>
      </w:r>
      <w:bookmarkEnd w:id="58"/>
    </w:p>
    <w:p w14:paraId="1295501D">
      <w:pPr>
        <w:tabs>
          <w:tab w:val="left" w:pos="7584"/>
        </w:tabs>
        <w:topLinePunct/>
        <w:outlineLvl w:val="1"/>
        <w:rPr>
          <w:rFonts w:eastAsia="方正仿宋_GBK"/>
          <w:color w:val="000000"/>
        </w:rPr>
      </w:pPr>
      <w:bookmarkStart w:id="59" w:name="_Toc143699713"/>
      <w:r>
        <w:rPr>
          <w:rFonts w:hint="eastAsia" w:eastAsia="方正仿宋_GBK"/>
          <w:color w:val="000000"/>
        </w:rPr>
        <w:t>十一、国有资本经营预算财政拨款收入支出决算表</w:t>
      </w:r>
      <w:bookmarkEnd w:id="59"/>
    </w:p>
    <w:p w14:paraId="0F613ADA">
      <w:pPr>
        <w:tabs>
          <w:tab w:val="left" w:pos="7584"/>
        </w:tabs>
        <w:topLinePunct/>
        <w:outlineLvl w:val="1"/>
        <w:rPr>
          <w:rFonts w:eastAsia="方正仿宋_GBK"/>
          <w:color w:val="000000"/>
        </w:rPr>
      </w:pPr>
      <w:bookmarkStart w:id="60" w:name="_Toc143699714"/>
      <w:r>
        <w:rPr>
          <w:rFonts w:hint="eastAsia" w:eastAsia="方正仿宋_GBK"/>
          <w:color w:val="000000"/>
        </w:rPr>
        <w:t>十二、国有资本经营预算财政拨款支出决算表</w:t>
      </w:r>
      <w:bookmarkEnd w:id="60"/>
    </w:p>
    <w:p w14:paraId="54C27ED7">
      <w:pPr>
        <w:tabs>
          <w:tab w:val="left" w:pos="7584"/>
        </w:tabs>
        <w:topLinePunct/>
        <w:outlineLvl w:val="1"/>
        <w:rPr>
          <w:rFonts w:eastAsia="方正仿宋_GBK"/>
          <w:color w:val="000000"/>
        </w:rPr>
      </w:pPr>
      <w:bookmarkStart w:id="61" w:name="_Toc143699715"/>
      <w:r>
        <w:rPr>
          <w:rFonts w:hint="eastAsia" w:eastAsia="方正仿宋_GBK"/>
          <w:color w:val="000000"/>
        </w:rPr>
        <w:t>十三、财政拨款“三公”经费支出决算表</w:t>
      </w:r>
      <w:bookmarkEnd w:id="61"/>
    </w:p>
    <w:p w14:paraId="1F40CFD2">
      <w:pPr>
        <w:tabs>
          <w:tab w:val="left" w:pos="7584"/>
        </w:tabs>
        <w:topLinePunct/>
        <w:ind w:firstLine="316" w:firstLineChars="100"/>
        <w:jc w:val="left"/>
        <w:rPr>
          <w:rFonts w:eastAsia="方正仿宋_GBK"/>
          <w:color w:val="FF0000"/>
        </w:rPr>
      </w:pPr>
    </w:p>
    <w:sectPr>
      <w:pgSz w:w="11906" w:h="16838"/>
      <w:pgMar w:top="2098" w:right="1531" w:bottom="1985" w:left="1531" w:header="709" w:footer="1418"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16C9CA-850B-4A8D-9113-6CF1DC683EA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2BA0F0C-E4A3-4A1A-968B-87A55CB71453}"/>
  </w:font>
  <w:font w:name="方正仿宋_GBK">
    <w:panose1 w:val="02000000000000000000"/>
    <w:charset w:val="86"/>
    <w:family w:val="script"/>
    <w:pitch w:val="default"/>
    <w:sig w:usb0="00000001" w:usb1="080E0000" w:usb2="00000000" w:usb3="00000000" w:csb0="00040000" w:csb1="00000000"/>
    <w:embedRegular r:id="rId3" w:fontKey="{1A4B8E16-C2B7-4E71-8E6B-958B003FC950}"/>
  </w:font>
  <w:font w:name="Cambria">
    <w:panose1 w:val="02040503050406030204"/>
    <w:charset w:val="00"/>
    <w:family w:val="roman"/>
    <w:pitch w:val="default"/>
    <w:sig w:usb0="E00002FF" w:usb1="400004FF" w:usb2="00000000" w:usb3="00000000" w:csb0="2000019F" w:csb1="00000000"/>
    <w:embedRegular r:id="rId4" w:fontKey="{2C447E98-6C87-40B5-8ADB-719A296DA792}"/>
  </w:font>
  <w:font w:name="仿宋_GB2312">
    <w:panose1 w:val="02010609030101010101"/>
    <w:charset w:val="86"/>
    <w:family w:val="modern"/>
    <w:pitch w:val="default"/>
    <w:sig w:usb0="00000001" w:usb1="080E0000" w:usb2="00000000" w:usb3="00000000" w:csb0="00040000" w:csb1="00000000"/>
    <w:embedRegular r:id="rId5" w:fontKey="{BBD13EE0-48DE-4486-9FD8-812099FCD2CA}"/>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embedRegular r:id="rId6" w:fontKey="{26F0C2BF-2FF1-4C7E-9FCE-DADE9F82354A}"/>
  </w:font>
  <w:font w:name="方正小标宋_GBK">
    <w:panose1 w:val="02000000000000000000"/>
    <w:charset w:val="86"/>
    <w:family w:val="script"/>
    <w:pitch w:val="default"/>
    <w:sig w:usb0="00000001" w:usb1="080E0000" w:usb2="00000000" w:usb3="00000000" w:csb0="00040000" w:csb1="00000000"/>
    <w:embedRegular r:id="rId7" w:fontKey="{AD928F15-F0EA-4E7F-9BA5-DEDC277F5819}"/>
  </w:font>
  <w:font w:name="方正黑体_GBK">
    <w:panose1 w:val="03000509000000000000"/>
    <w:charset w:val="86"/>
    <w:family w:val="script"/>
    <w:pitch w:val="default"/>
    <w:sig w:usb0="00000001" w:usb1="080E0000" w:usb2="00000000" w:usb3="00000000" w:csb0="00040000" w:csb1="00000000"/>
    <w:embedRegular r:id="rId8" w:fontKey="{81B222B8-25A1-45BB-858C-9BC4E54D427B}"/>
  </w:font>
  <w:font w:name="方正楷体_GBK">
    <w:panose1 w:val="03000509000000000000"/>
    <w:charset w:val="86"/>
    <w:family w:val="script"/>
    <w:pitch w:val="default"/>
    <w:sig w:usb0="00000001" w:usb1="080E0000" w:usb2="00000000" w:usb3="00000000" w:csb0="00040000" w:csb1="00000000"/>
    <w:embedRegular r:id="rId9" w:fontKey="{DFA71790-F365-4684-B89A-5A0A7C426D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1C360">
    <w:pPr>
      <w:pStyle w:val="12"/>
      <w:framePr w:wrap="around" w:vAnchor="text" w:hAnchor="margin" w:xAlign="outside" w:y="1"/>
      <w:rPr>
        <w:rStyle w:val="23"/>
        <w:rFonts w:ascii="宋体" w:hAnsi="宋体" w:eastAsia="宋体"/>
        <w:sz w:val="28"/>
        <w:szCs w:val="28"/>
      </w:rPr>
    </w:pPr>
    <w:r>
      <w:rPr>
        <w:rStyle w:val="23"/>
        <w:rFonts w:ascii="宋体" w:hAnsi="宋体" w:eastAsia="宋体"/>
        <w:sz w:val="28"/>
        <w:szCs w:val="28"/>
      </w:rPr>
      <w:t xml:space="preserve">— </w:t>
    </w:r>
    <w:r>
      <w:rPr>
        <w:rStyle w:val="23"/>
        <w:rFonts w:ascii="宋体" w:hAnsi="宋体" w:eastAsia="宋体"/>
        <w:sz w:val="28"/>
        <w:szCs w:val="28"/>
      </w:rPr>
      <w:fldChar w:fldCharType="begin"/>
    </w:r>
    <w:r>
      <w:rPr>
        <w:rStyle w:val="23"/>
        <w:rFonts w:ascii="宋体" w:hAnsi="宋体" w:eastAsia="宋体"/>
        <w:sz w:val="28"/>
        <w:szCs w:val="28"/>
      </w:rPr>
      <w:instrText xml:space="preserve">PAGE  </w:instrText>
    </w:r>
    <w:r>
      <w:rPr>
        <w:rStyle w:val="23"/>
        <w:rFonts w:ascii="宋体" w:hAnsi="宋体" w:eastAsia="宋体"/>
        <w:sz w:val="28"/>
        <w:szCs w:val="28"/>
      </w:rPr>
      <w:fldChar w:fldCharType="separate"/>
    </w:r>
    <w:r>
      <w:rPr>
        <w:rStyle w:val="23"/>
        <w:rFonts w:ascii="宋体" w:hAnsi="宋体" w:eastAsia="宋体"/>
        <w:sz w:val="28"/>
        <w:szCs w:val="28"/>
      </w:rPr>
      <w:t>1</w:t>
    </w:r>
    <w:r>
      <w:rPr>
        <w:rStyle w:val="23"/>
        <w:rFonts w:ascii="宋体" w:hAnsi="宋体" w:eastAsia="宋体"/>
        <w:sz w:val="28"/>
        <w:szCs w:val="28"/>
      </w:rPr>
      <w:fldChar w:fldCharType="end"/>
    </w:r>
    <w:r>
      <w:rPr>
        <w:rStyle w:val="23"/>
        <w:rFonts w:ascii="宋体" w:hAnsi="宋体" w:eastAsia="宋体"/>
        <w:sz w:val="28"/>
        <w:szCs w:val="28"/>
      </w:rPr>
      <w:t xml:space="preserve"> —</w:t>
    </w:r>
  </w:p>
  <w:p w14:paraId="5738C806">
    <w:pPr>
      <w:pStyle w:val="1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8000E">
    <w:pPr>
      <w:pStyle w:val="12"/>
      <w:framePr w:wrap="around" w:vAnchor="text" w:hAnchor="margin" w:xAlign="outside" w:y="1"/>
      <w:rPr>
        <w:rStyle w:val="23"/>
        <w:rFonts w:ascii="宋体" w:hAnsi="宋体" w:eastAsia="宋体"/>
        <w:sz w:val="28"/>
        <w:szCs w:val="28"/>
      </w:rPr>
    </w:pPr>
    <w:r>
      <w:rPr>
        <w:rStyle w:val="23"/>
        <w:rFonts w:ascii="宋体" w:hAnsi="宋体" w:eastAsia="宋体"/>
        <w:sz w:val="28"/>
        <w:szCs w:val="28"/>
      </w:rPr>
      <w:t xml:space="preserve">— </w:t>
    </w:r>
    <w:r>
      <w:rPr>
        <w:rStyle w:val="23"/>
        <w:rFonts w:ascii="宋体" w:hAnsi="宋体" w:eastAsia="宋体"/>
        <w:sz w:val="28"/>
        <w:szCs w:val="28"/>
      </w:rPr>
      <w:fldChar w:fldCharType="begin"/>
    </w:r>
    <w:r>
      <w:rPr>
        <w:rStyle w:val="23"/>
        <w:rFonts w:ascii="宋体" w:hAnsi="宋体" w:eastAsia="宋体"/>
        <w:sz w:val="28"/>
        <w:szCs w:val="28"/>
      </w:rPr>
      <w:instrText xml:space="preserve">PAGE  </w:instrText>
    </w:r>
    <w:r>
      <w:rPr>
        <w:rStyle w:val="23"/>
        <w:rFonts w:ascii="宋体" w:hAnsi="宋体" w:eastAsia="宋体"/>
        <w:sz w:val="28"/>
        <w:szCs w:val="28"/>
      </w:rPr>
      <w:fldChar w:fldCharType="separate"/>
    </w:r>
    <w:r>
      <w:rPr>
        <w:rStyle w:val="23"/>
        <w:rFonts w:ascii="宋体" w:hAnsi="宋体" w:eastAsia="宋体"/>
        <w:sz w:val="28"/>
        <w:szCs w:val="28"/>
      </w:rPr>
      <w:t>20</w:t>
    </w:r>
    <w:r>
      <w:rPr>
        <w:rStyle w:val="23"/>
        <w:rFonts w:ascii="宋体" w:hAnsi="宋体" w:eastAsia="宋体"/>
        <w:sz w:val="28"/>
        <w:szCs w:val="28"/>
      </w:rPr>
      <w:fldChar w:fldCharType="end"/>
    </w:r>
    <w:r>
      <w:rPr>
        <w:rStyle w:val="23"/>
        <w:rFonts w:ascii="宋体" w:hAnsi="宋体" w:eastAsia="宋体"/>
        <w:sz w:val="28"/>
        <w:szCs w:val="28"/>
      </w:rPr>
      <w:t xml:space="preserve"> —</w:t>
    </w:r>
  </w:p>
  <w:p w14:paraId="37C57E59">
    <w:pPr>
      <w:pStyle w:val="1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9B15C"/>
    <w:multiLevelType w:val="singleLevel"/>
    <w:tmpl w:val="B2E9B15C"/>
    <w:lvl w:ilvl="0" w:tentative="0">
      <w:start w:val="1"/>
      <w:numFmt w:val="chineseCounting"/>
      <w:suff w:val="nothing"/>
      <w:lvlText w:val="%1、"/>
      <w:lvlJc w:val="left"/>
      <w:rPr>
        <w:rFonts w:hint="eastAsia"/>
      </w:rPr>
    </w:lvl>
  </w:abstractNum>
  <w:abstractNum w:abstractNumId="1">
    <w:nsid w:val="7B367EEE"/>
    <w:multiLevelType w:val="singleLevel"/>
    <w:tmpl w:val="7B367EE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oNotHyphenateCaps/>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k3YTEwZDkyMTM4OGExODA0MGViZDRmMmE0OTBlMjQifQ=="/>
  </w:docVars>
  <w:rsids>
    <w:rsidRoot w:val="00426EE2"/>
    <w:rsid w:val="00000288"/>
    <w:rsid w:val="00000AB1"/>
    <w:rsid w:val="00001C79"/>
    <w:rsid w:val="00004981"/>
    <w:rsid w:val="0000582D"/>
    <w:rsid w:val="00010233"/>
    <w:rsid w:val="000140F9"/>
    <w:rsid w:val="00015715"/>
    <w:rsid w:val="00017073"/>
    <w:rsid w:val="000326C7"/>
    <w:rsid w:val="00035B9C"/>
    <w:rsid w:val="000364AD"/>
    <w:rsid w:val="00042F71"/>
    <w:rsid w:val="00045F03"/>
    <w:rsid w:val="00046D69"/>
    <w:rsid w:val="000530BA"/>
    <w:rsid w:val="00053631"/>
    <w:rsid w:val="00054CF7"/>
    <w:rsid w:val="00055950"/>
    <w:rsid w:val="00060582"/>
    <w:rsid w:val="0006099B"/>
    <w:rsid w:val="00065BAB"/>
    <w:rsid w:val="00066415"/>
    <w:rsid w:val="000670BB"/>
    <w:rsid w:val="000717F8"/>
    <w:rsid w:val="00072774"/>
    <w:rsid w:val="000729F0"/>
    <w:rsid w:val="00072E20"/>
    <w:rsid w:val="00072FF3"/>
    <w:rsid w:val="00076745"/>
    <w:rsid w:val="00080D61"/>
    <w:rsid w:val="00081C11"/>
    <w:rsid w:val="0008259E"/>
    <w:rsid w:val="00082DAF"/>
    <w:rsid w:val="0008427A"/>
    <w:rsid w:val="000843CF"/>
    <w:rsid w:val="0008486E"/>
    <w:rsid w:val="00087482"/>
    <w:rsid w:val="00091E41"/>
    <w:rsid w:val="00091FB9"/>
    <w:rsid w:val="000932B2"/>
    <w:rsid w:val="0009340E"/>
    <w:rsid w:val="000B2DC9"/>
    <w:rsid w:val="000B62D3"/>
    <w:rsid w:val="000C1D84"/>
    <w:rsid w:val="000C4ACB"/>
    <w:rsid w:val="000C5016"/>
    <w:rsid w:val="000D0847"/>
    <w:rsid w:val="000D3B76"/>
    <w:rsid w:val="000D68E3"/>
    <w:rsid w:val="000E746E"/>
    <w:rsid w:val="000F2412"/>
    <w:rsid w:val="000F3C6A"/>
    <w:rsid w:val="000F5C63"/>
    <w:rsid w:val="001005D7"/>
    <w:rsid w:val="00102D40"/>
    <w:rsid w:val="00102F3B"/>
    <w:rsid w:val="00103800"/>
    <w:rsid w:val="0010689A"/>
    <w:rsid w:val="00106C93"/>
    <w:rsid w:val="00106D5A"/>
    <w:rsid w:val="00107368"/>
    <w:rsid w:val="001163D8"/>
    <w:rsid w:val="00122AE6"/>
    <w:rsid w:val="001306A8"/>
    <w:rsid w:val="00131AE0"/>
    <w:rsid w:val="00134742"/>
    <w:rsid w:val="001357F0"/>
    <w:rsid w:val="001427D4"/>
    <w:rsid w:val="00150B63"/>
    <w:rsid w:val="001559FE"/>
    <w:rsid w:val="00156C6F"/>
    <w:rsid w:val="001639A0"/>
    <w:rsid w:val="00164EB4"/>
    <w:rsid w:val="00165617"/>
    <w:rsid w:val="0016584B"/>
    <w:rsid w:val="00172020"/>
    <w:rsid w:val="0017212D"/>
    <w:rsid w:val="00175876"/>
    <w:rsid w:val="001768AB"/>
    <w:rsid w:val="00177192"/>
    <w:rsid w:val="001854A6"/>
    <w:rsid w:val="00190B93"/>
    <w:rsid w:val="00191D3C"/>
    <w:rsid w:val="0019440E"/>
    <w:rsid w:val="00195166"/>
    <w:rsid w:val="001A0E71"/>
    <w:rsid w:val="001A15C4"/>
    <w:rsid w:val="001A478A"/>
    <w:rsid w:val="001A4B39"/>
    <w:rsid w:val="001B1FD8"/>
    <w:rsid w:val="001B2AC7"/>
    <w:rsid w:val="001B3A06"/>
    <w:rsid w:val="001B5455"/>
    <w:rsid w:val="001C1B96"/>
    <w:rsid w:val="001C22C5"/>
    <w:rsid w:val="001C5500"/>
    <w:rsid w:val="001D22B5"/>
    <w:rsid w:val="001D22FA"/>
    <w:rsid w:val="001D5EBF"/>
    <w:rsid w:val="001D625F"/>
    <w:rsid w:val="001E29B9"/>
    <w:rsid w:val="001E4B51"/>
    <w:rsid w:val="001E4C44"/>
    <w:rsid w:val="001E63B3"/>
    <w:rsid w:val="001E6901"/>
    <w:rsid w:val="001E770D"/>
    <w:rsid w:val="001E7D73"/>
    <w:rsid w:val="001F5FDC"/>
    <w:rsid w:val="001F6BEE"/>
    <w:rsid w:val="00200ED4"/>
    <w:rsid w:val="00201E2C"/>
    <w:rsid w:val="0020332D"/>
    <w:rsid w:val="00203D9E"/>
    <w:rsid w:val="00206026"/>
    <w:rsid w:val="0020724E"/>
    <w:rsid w:val="00207860"/>
    <w:rsid w:val="00211805"/>
    <w:rsid w:val="0021347B"/>
    <w:rsid w:val="00215D9B"/>
    <w:rsid w:val="00230E0F"/>
    <w:rsid w:val="00231C61"/>
    <w:rsid w:val="00233002"/>
    <w:rsid w:val="00234CB5"/>
    <w:rsid w:val="002423AA"/>
    <w:rsid w:val="00245150"/>
    <w:rsid w:val="00245DF3"/>
    <w:rsid w:val="00246C43"/>
    <w:rsid w:val="00246D03"/>
    <w:rsid w:val="00247316"/>
    <w:rsid w:val="00247335"/>
    <w:rsid w:val="00247790"/>
    <w:rsid w:val="00250A18"/>
    <w:rsid w:val="00250A47"/>
    <w:rsid w:val="00251134"/>
    <w:rsid w:val="00253788"/>
    <w:rsid w:val="002552C0"/>
    <w:rsid w:val="002577F1"/>
    <w:rsid w:val="002668FC"/>
    <w:rsid w:val="00266FA2"/>
    <w:rsid w:val="002710A4"/>
    <w:rsid w:val="0027279A"/>
    <w:rsid w:val="00273D02"/>
    <w:rsid w:val="0027645F"/>
    <w:rsid w:val="00285BD1"/>
    <w:rsid w:val="00291CD2"/>
    <w:rsid w:val="00295E1E"/>
    <w:rsid w:val="00296601"/>
    <w:rsid w:val="002A0B12"/>
    <w:rsid w:val="002A12C3"/>
    <w:rsid w:val="002A1ACD"/>
    <w:rsid w:val="002A31CA"/>
    <w:rsid w:val="002A58C8"/>
    <w:rsid w:val="002A6F3C"/>
    <w:rsid w:val="002B4647"/>
    <w:rsid w:val="002B4933"/>
    <w:rsid w:val="002B59A6"/>
    <w:rsid w:val="002B675D"/>
    <w:rsid w:val="002B6BCF"/>
    <w:rsid w:val="002B6D64"/>
    <w:rsid w:val="002C3DAF"/>
    <w:rsid w:val="002C474C"/>
    <w:rsid w:val="002C4CB5"/>
    <w:rsid w:val="002C6128"/>
    <w:rsid w:val="002C6CB6"/>
    <w:rsid w:val="002D1E95"/>
    <w:rsid w:val="002D34C0"/>
    <w:rsid w:val="002D5561"/>
    <w:rsid w:val="002D6465"/>
    <w:rsid w:val="002E073E"/>
    <w:rsid w:val="002E7A1F"/>
    <w:rsid w:val="002F3228"/>
    <w:rsid w:val="002F3558"/>
    <w:rsid w:val="002F3D28"/>
    <w:rsid w:val="002F4874"/>
    <w:rsid w:val="00316C5F"/>
    <w:rsid w:val="00317260"/>
    <w:rsid w:val="00317B62"/>
    <w:rsid w:val="00320341"/>
    <w:rsid w:val="00320958"/>
    <w:rsid w:val="00324DCA"/>
    <w:rsid w:val="00324E70"/>
    <w:rsid w:val="00325631"/>
    <w:rsid w:val="0033011A"/>
    <w:rsid w:val="003302CC"/>
    <w:rsid w:val="00330856"/>
    <w:rsid w:val="003311BD"/>
    <w:rsid w:val="00333F03"/>
    <w:rsid w:val="00336DB0"/>
    <w:rsid w:val="00337CEF"/>
    <w:rsid w:val="00350D97"/>
    <w:rsid w:val="003522C8"/>
    <w:rsid w:val="0035525E"/>
    <w:rsid w:val="00355CE8"/>
    <w:rsid w:val="0035638E"/>
    <w:rsid w:val="00356EB3"/>
    <w:rsid w:val="00361847"/>
    <w:rsid w:val="0036440C"/>
    <w:rsid w:val="00366733"/>
    <w:rsid w:val="003702C8"/>
    <w:rsid w:val="0037253D"/>
    <w:rsid w:val="00372DE4"/>
    <w:rsid w:val="00372ED2"/>
    <w:rsid w:val="00375815"/>
    <w:rsid w:val="0038173D"/>
    <w:rsid w:val="00382024"/>
    <w:rsid w:val="00383280"/>
    <w:rsid w:val="0038402E"/>
    <w:rsid w:val="00386E05"/>
    <w:rsid w:val="00390607"/>
    <w:rsid w:val="0039190C"/>
    <w:rsid w:val="00391E2C"/>
    <w:rsid w:val="0039240E"/>
    <w:rsid w:val="003933A5"/>
    <w:rsid w:val="003963A6"/>
    <w:rsid w:val="00397C4C"/>
    <w:rsid w:val="003A0A69"/>
    <w:rsid w:val="003A1BFD"/>
    <w:rsid w:val="003A3A1A"/>
    <w:rsid w:val="003A3EBE"/>
    <w:rsid w:val="003A4E48"/>
    <w:rsid w:val="003A7034"/>
    <w:rsid w:val="003B1406"/>
    <w:rsid w:val="003B35D4"/>
    <w:rsid w:val="003B3CC7"/>
    <w:rsid w:val="003B47B3"/>
    <w:rsid w:val="003B4B33"/>
    <w:rsid w:val="003C6EBB"/>
    <w:rsid w:val="003D0278"/>
    <w:rsid w:val="003D0F5A"/>
    <w:rsid w:val="003E140F"/>
    <w:rsid w:val="003E605B"/>
    <w:rsid w:val="003E614E"/>
    <w:rsid w:val="003E7B01"/>
    <w:rsid w:val="003F0C5D"/>
    <w:rsid w:val="003F1B60"/>
    <w:rsid w:val="003F1F8F"/>
    <w:rsid w:val="003F2FC8"/>
    <w:rsid w:val="003F4ED4"/>
    <w:rsid w:val="003F7C4B"/>
    <w:rsid w:val="004034D4"/>
    <w:rsid w:val="00407974"/>
    <w:rsid w:val="00413F9E"/>
    <w:rsid w:val="00413FD3"/>
    <w:rsid w:val="004166E9"/>
    <w:rsid w:val="00420865"/>
    <w:rsid w:val="00424360"/>
    <w:rsid w:val="00425513"/>
    <w:rsid w:val="00426EE2"/>
    <w:rsid w:val="00430185"/>
    <w:rsid w:val="00432150"/>
    <w:rsid w:val="00433D17"/>
    <w:rsid w:val="00440D13"/>
    <w:rsid w:val="00444FAB"/>
    <w:rsid w:val="00447DCF"/>
    <w:rsid w:val="0045323A"/>
    <w:rsid w:val="00453248"/>
    <w:rsid w:val="00456947"/>
    <w:rsid w:val="00457D25"/>
    <w:rsid w:val="00460D75"/>
    <w:rsid w:val="00462996"/>
    <w:rsid w:val="00462BD9"/>
    <w:rsid w:val="00464D4C"/>
    <w:rsid w:val="00471C95"/>
    <w:rsid w:val="004725C1"/>
    <w:rsid w:val="00474573"/>
    <w:rsid w:val="0047525C"/>
    <w:rsid w:val="00475374"/>
    <w:rsid w:val="004754ED"/>
    <w:rsid w:val="00477735"/>
    <w:rsid w:val="0048011D"/>
    <w:rsid w:val="00480D24"/>
    <w:rsid w:val="00480E61"/>
    <w:rsid w:val="00484A20"/>
    <w:rsid w:val="00485B8B"/>
    <w:rsid w:val="00486323"/>
    <w:rsid w:val="004872EC"/>
    <w:rsid w:val="00487BB7"/>
    <w:rsid w:val="00490E38"/>
    <w:rsid w:val="00494DB2"/>
    <w:rsid w:val="004953F7"/>
    <w:rsid w:val="004954A7"/>
    <w:rsid w:val="004958C7"/>
    <w:rsid w:val="004A234C"/>
    <w:rsid w:val="004B0409"/>
    <w:rsid w:val="004B19FF"/>
    <w:rsid w:val="004B521E"/>
    <w:rsid w:val="004B5C0E"/>
    <w:rsid w:val="004C51C6"/>
    <w:rsid w:val="004D26C4"/>
    <w:rsid w:val="004D365C"/>
    <w:rsid w:val="004D3A08"/>
    <w:rsid w:val="004D3B2A"/>
    <w:rsid w:val="004D5AD2"/>
    <w:rsid w:val="004D66B9"/>
    <w:rsid w:val="004E5E5A"/>
    <w:rsid w:val="004E6A6F"/>
    <w:rsid w:val="0050112E"/>
    <w:rsid w:val="005031D5"/>
    <w:rsid w:val="00503577"/>
    <w:rsid w:val="0050470D"/>
    <w:rsid w:val="005060E8"/>
    <w:rsid w:val="00507D64"/>
    <w:rsid w:val="00511142"/>
    <w:rsid w:val="00513AD3"/>
    <w:rsid w:val="005177E4"/>
    <w:rsid w:val="00520A2E"/>
    <w:rsid w:val="00520AE5"/>
    <w:rsid w:val="00520CDB"/>
    <w:rsid w:val="00524316"/>
    <w:rsid w:val="005413BF"/>
    <w:rsid w:val="00545C02"/>
    <w:rsid w:val="00547FC3"/>
    <w:rsid w:val="00550BA4"/>
    <w:rsid w:val="00551CDF"/>
    <w:rsid w:val="005530AA"/>
    <w:rsid w:val="00557247"/>
    <w:rsid w:val="005573FD"/>
    <w:rsid w:val="00557CEB"/>
    <w:rsid w:val="0056516C"/>
    <w:rsid w:val="005664AE"/>
    <w:rsid w:val="00567177"/>
    <w:rsid w:val="00567CD1"/>
    <w:rsid w:val="00570A9A"/>
    <w:rsid w:val="00571F9F"/>
    <w:rsid w:val="00576DE5"/>
    <w:rsid w:val="0058331F"/>
    <w:rsid w:val="005840F7"/>
    <w:rsid w:val="005859FA"/>
    <w:rsid w:val="00585BA4"/>
    <w:rsid w:val="00586023"/>
    <w:rsid w:val="005875C6"/>
    <w:rsid w:val="00587B50"/>
    <w:rsid w:val="005907F7"/>
    <w:rsid w:val="00591DDA"/>
    <w:rsid w:val="0059635A"/>
    <w:rsid w:val="005A2B8E"/>
    <w:rsid w:val="005A2C90"/>
    <w:rsid w:val="005A3530"/>
    <w:rsid w:val="005A6147"/>
    <w:rsid w:val="005B38D6"/>
    <w:rsid w:val="005B7358"/>
    <w:rsid w:val="005B781E"/>
    <w:rsid w:val="005C14DE"/>
    <w:rsid w:val="005C29D5"/>
    <w:rsid w:val="005C2A77"/>
    <w:rsid w:val="005C6764"/>
    <w:rsid w:val="005D323F"/>
    <w:rsid w:val="005D4BDC"/>
    <w:rsid w:val="005D6612"/>
    <w:rsid w:val="005D723C"/>
    <w:rsid w:val="005E0109"/>
    <w:rsid w:val="005E0207"/>
    <w:rsid w:val="005E1B9D"/>
    <w:rsid w:val="005E714B"/>
    <w:rsid w:val="005E7B76"/>
    <w:rsid w:val="005F0F52"/>
    <w:rsid w:val="005F1B01"/>
    <w:rsid w:val="005F262C"/>
    <w:rsid w:val="005F2ADC"/>
    <w:rsid w:val="005F4C02"/>
    <w:rsid w:val="00601B1B"/>
    <w:rsid w:val="00602B5B"/>
    <w:rsid w:val="00602D2C"/>
    <w:rsid w:val="006073C2"/>
    <w:rsid w:val="0061453D"/>
    <w:rsid w:val="0061547F"/>
    <w:rsid w:val="00615A08"/>
    <w:rsid w:val="00620D57"/>
    <w:rsid w:val="00620FA8"/>
    <w:rsid w:val="00621189"/>
    <w:rsid w:val="0062300F"/>
    <w:rsid w:val="00624A12"/>
    <w:rsid w:val="00625D7C"/>
    <w:rsid w:val="0063422E"/>
    <w:rsid w:val="0063496B"/>
    <w:rsid w:val="00634FB2"/>
    <w:rsid w:val="00641B1C"/>
    <w:rsid w:val="00642036"/>
    <w:rsid w:val="00644405"/>
    <w:rsid w:val="00646131"/>
    <w:rsid w:val="00646578"/>
    <w:rsid w:val="00647258"/>
    <w:rsid w:val="0064761D"/>
    <w:rsid w:val="00647CCC"/>
    <w:rsid w:val="00654949"/>
    <w:rsid w:val="00656CD8"/>
    <w:rsid w:val="006641A2"/>
    <w:rsid w:val="006672C9"/>
    <w:rsid w:val="0067269B"/>
    <w:rsid w:val="00673DF3"/>
    <w:rsid w:val="006812F8"/>
    <w:rsid w:val="006835F2"/>
    <w:rsid w:val="006840B6"/>
    <w:rsid w:val="00686B37"/>
    <w:rsid w:val="006874D4"/>
    <w:rsid w:val="00693838"/>
    <w:rsid w:val="00693DB1"/>
    <w:rsid w:val="006947B1"/>
    <w:rsid w:val="00697204"/>
    <w:rsid w:val="006A36B5"/>
    <w:rsid w:val="006A6075"/>
    <w:rsid w:val="006A7580"/>
    <w:rsid w:val="006B009F"/>
    <w:rsid w:val="006B12E8"/>
    <w:rsid w:val="006B16FF"/>
    <w:rsid w:val="006B187F"/>
    <w:rsid w:val="006B2429"/>
    <w:rsid w:val="006B4726"/>
    <w:rsid w:val="006B4734"/>
    <w:rsid w:val="006B5E0F"/>
    <w:rsid w:val="006B6427"/>
    <w:rsid w:val="006C2EB3"/>
    <w:rsid w:val="006D105D"/>
    <w:rsid w:val="006D2600"/>
    <w:rsid w:val="006D6077"/>
    <w:rsid w:val="006E1522"/>
    <w:rsid w:val="006E4E7C"/>
    <w:rsid w:val="006E6F60"/>
    <w:rsid w:val="006F029F"/>
    <w:rsid w:val="006F1307"/>
    <w:rsid w:val="006F389B"/>
    <w:rsid w:val="006F44C0"/>
    <w:rsid w:val="006F4E2E"/>
    <w:rsid w:val="006F4F67"/>
    <w:rsid w:val="006F756F"/>
    <w:rsid w:val="006F7E10"/>
    <w:rsid w:val="0070029F"/>
    <w:rsid w:val="00703CC7"/>
    <w:rsid w:val="007057B0"/>
    <w:rsid w:val="00707AB3"/>
    <w:rsid w:val="007102F3"/>
    <w:rsid w:val="00710BCC"/>
    <w:rsid w:val="007159B3"/>
    <w:rsid w:val="00715C5D"/>
    <w:rsid w:val="00715C68"/>
    <w:rsid w:val="00720144"/>
    <w:rsid w:val="007229AA"/>
    <w:rsid w:val="00725550"/>
    <w:rsid w:val="0072587F"/>
    <w:rsid w:val="00725C99"/>
    <w:rsid w:val="00731DF4"/>
    <w:rsid w:val="00733241"/>
    <w:rsid w:val="0073424E"/>
    <w:rsid w:val="007344F4"/>
    <w:rsid w:val="00735079"/>
    <w:rsid w:val="00735630"/>
    <w:rsid w:val="0073592C"/>
    <w:rsid w:val="00740053"/>
    <w:rsid w:val="007412E6"/>
    <w:rsid w:val="00745ACA"/>
    <w:rsid w:val="007511A7"/>
    <w:rsid w:val="00751857"/>
    <w:rsid w:val="0075442C"/>
    <w:rsid w:val="00755C44"/>
    <w:rsid w:val="0075642B"/>
    <w:rsid w:val="00765A07"/>
    <w:rsid w:val="00765DB3"/>
    <w:rsid w:val="00770F08"/>
    <w:rsid w:val="007748DC"/>
    <w:rsid w:val="007755F8"/>
    <w:rsid w:val="007773D2"/>
    <w:rsid w:val="00780F26"/>
    <w:rsid w:val="00781664"/>
    <w:rsid w:val="0078262A"/>
    <w:rsid w:val="00783BC9"/>
    <w:rsid w:val="0078480A"/>
    <w:rsid w:val="00784E4D"/>
    <w:rsid w:val="0078611C"/>
    <w:rsid w:val="007876D6"/>
    <w:rsid w:val="00792552"/>
    <w:rsid w:val="007930F7"/>
    <w:rsid w:val="0079442B"/>
    <w:rsid w:val="00796387"/>
    <w:rsid w:val="007969A0"/>
    <w:rsid w:val="007A0F0C"/>
    <w:rsid w:val="007A396E"/>
    <w:rsid w:val="007A50E1"/>
    <w:rsid w:val="007B654D"/>
    <w:rsid w:val="007B6C98"/>
    <w:rsid w:val="007C3CCE"/>
    <w:rsid w:val="007C461A"/>
    <w:rsid w:val="007C6B6F"/>
    <w:rsid w:val="007D0D11"/>
    <w:rsid w:val="007D383A"/>
    <w:rsid w:val="007D43CD"/>
    <w:rsid w:val="007D4DF1"/>
    <w:rsid w:val="007D58D2"/>
    <w:rsid w:val="007E02BC"/>
    <w:rsid w:val="007E092E"/>
    <w:rsid w:val="007E3407"/>
    <w:rsid w:val="007E54D1"/>
    <w:rsid w:val="007E640E"/>
    <w:rsid w:val="007F005B"/>
    <w:rsid w:val="007F115C"/>
    <w:rsid w:val="007F24B3"/>
    <w:rsid w:val="007F2A13"/>
    <w:rsid w:val="007F3120"/>
    <w:rsid w:val="007F3995"/>
    <w:rsid w:val="007F3FCF"/>
    <w:rsid w:val="007F55D8"/>
    <w:rsid w:val="007F7CFB"/>
    <w:rsid w:val="0080332D"/>
    <w:rsid w:val="00803625"/>
    <w:rsid w:val="008040D1"/>
    <w:rsid w:val="008048F2"/>
    <w:rsid w:val="008079EF"/>
    <w:rsid w:val="00810859"/>
    <w:rsid w:val="008136F1"/>
    <w:rsid w:val="00816391"/>
    <w:rsid w:val="00816E62"/>
    <w:rsid w:val="00817FA9"/>
    <w:rsid w:val="008237F3"/>
    <w:rsid w:val="00834AE5"/>
    <w:rsid w:val="0083551B"/>
    <w:rsid w:val="00836390"/>
    <w:rsid w:val="00841465"/>
    <w:rsid w:val="0084161C"/>
    <w:rsid w:val="00844D8F"/>
    <w:rsid w:val="00845BAA"/>
    <w:rsid w:val="008462C2"/>
    <w:rsid w:val="00846B92"/>
    <w:rsid w:val="0084793A"/>
    <w:rsid w:val="0085404F"/>
    <w:rsid w:val="008579DB"/>
    <w:rsid w:val="00857DB9"/>
    <w:rsid w:val="00861888"/>
    <w:rsid w:val="00862DD2"/>
    <w:rsid w:val="00863DDD"/>
    <w:rsid w:val="00866A4F"/>
    <w:rsid w:val="0086781E"/>
    <w:rsid w:val="00870705"/>
    <w:rsid w:val="00872EB1"/>
    <w:rsid w:val="00873280"/>
    <w:rsid w:val="008747AF"/>
    <w:rsid w:val="0087675B"/>
    <w:rsid w:val="0088083E"/>
    <w:rsid w:val="008812BA"/>
    <w:rsid w:val="0088565B"/>
    <w:rsid w:val="0088752E"/>
    <w:rsid w:val="00893AB3"/>
    <w:rsid w:val="00893F32"/>
    <w:rsid w:val="00894294"/>
    <w:rsid w:val="0089717C"/>
    <w:rsid w:val="008A040C"/>
    <w:rsid w:val="008A059D"/>
    <w:rsid w:val="008A0D4E"/>
    <w:rsid w:val="008B00FE"/>
    <w:rsid w:val="008B600E"/>
    <w:rsid w:val="008C2254"/>
    <w:rsid w:val="008C379F"/>
    <w:rsid w:val="008C3BBC"/>
    <w:rsid w:val="008C5AD1"/>
    <w:rsid w:val="008C653A"/>
    <w:rsid w:val="008C6842"/>
    <w:rsid w:val="008E52C3"/>
    <w:rsid w:val="008E633A"/>
    <w:rsid w:val="008F1482"/>
    <w:rsid w:val="008F2F2B"/>
    <w:rsid w:val="008F3ECF"/>
    <w:rsid w:val="008F64F5"/>
    <w:rsid w:val="00900D39"/>
    <w:rsid w:val="009016D6"/>
    <w:rsid w:val="00903778"/>
    <w:rsid w:val="00904322"/>
    <w:rsid w:val="0091038E"/>
    <w:rsid w:val="00910C10"/>
    <w:rsid w:val="00912AC2"/>
    <w:rsid w:val="00913030"/>
    <w:rsid w:val="00914581"/>
    <w:rsid w:val="0091483F"/>
    <w:rsid w:val="009161A6"/>
    <w:rsid w:val="00916E3C"/>
    <w:rsid w:val="0092467C"/>
    <w:rsid w:val="009247AC"/>
    <w:rsid w:val="0092544E"/>
    <w:rsid w:val="009254D5"/>
    <w:rsid w:val="00931A82"/>
    <w:rsid w:val="0093238B"/>
    <w:rsid w:val="009338E0"/>
    <w:rsid w:val="00937534"/>
    <w:rsid w:val="00937805"/>
    <w:rsid w:val="009407BF"/>
    <w:rsid w:val="00940BC0"/>
    <w:rsid w:val="0094493B"/>
    <w:rsid w:val="00945AF8"/>
    <w:rsid w:val="00945F44"/>
    <w:rsid w:val="00946055"/>
    <w:rsid w:val="00957414"/>
    <w:rsid w:val="009716FD"/>
    <w:rsid w:val="00972C86"/>
    <w:rsid w:val="009732C4"/>
    <w:rsid w:val="00974672"/>
    <w:rsid w:val="00976860"/>
    <w:rsid w:val="00976883"/>
    <w:rsid w:val="00976CC6"/>
    <w:rsid w:val="0098206A"/>
    <w:rsid w:val="00983306"/>
    <w:rsid w:val="0098478F"/>
    <w:rsid w:val="0098647F"/>
    <w:rsid w:val="00986548"/>
    <w:rsid w:val="0099017A"/>
    <w:rsid w:val="00990618"/>
    <w:rsid w:val="00991CC9"/>
    <w:rsid w:val="00993CB4"/>
    <w:rsid w:val="009A01E2"/>
    <w:rsid w:val="009A0786"/>
    <w:rsid w:val="009A1F37"/>
    <w:rsid w:val="009A6CE8"/>
    <w:rsid w:val="009A7D0A"/>
    <w:rsid w:val="009B0186"/>
    <w:rsid w:val="009B0C2B"/>
    <w:rsid w:val="009B71CD"/>
    <w:rsid w:val="009C0FC9"/>
    <w:rsid w:val="009C60E9"/>
    <w:rsid w:val="009C663A"/>
    <w:rsid w:val="009D0376"/>
    <w:rsid w:val="009D12BF"/>
    <w:rsid w:val="009D17FE"/>
    <w:rsid w:val="009D2F91"/>
    <w:rsid w:val="009D4472"/>
    <w:rsid w:val="009D4CFF"/>
    <w:rsid w:val="009D63DB"/>
    <w:rsid w:val="009E1112"/>
    <w:rsid w:val="009E254B"/>
    <w:rsid w:val="009E3F36"/>
    <w:rsid w:val="009E4A2A"/>
    <w:rsid w:val="009F5C09"/>
    <w:rsid w:val="009F66D6"/>
    <w:rsid w:val="009F6CA9"/>
    <w:rsid w:val="009F7948"/>
    <w:rsid w:val="00A035E1"/>
    <w:rsid w:val="00A035ED"/>
    <w:rsid w:val="00A07CE0"/>
    <w:rsid w:val="00A111B0"/>
    <w:rsid w:val="00A11677"/>
    <w:rsid w:val="00A11ADE"/>
    <w:rsid w:val="00A15CF3"/>
    <w:rsid w:val="00A16059"/>
    <w:rsid w:val="00A16808"/>
    <w:rsid w:val="00A16FEC"/>
    <w:rsid w:val="00A216EF"/>
    <w:rsid w:val="00A23224"/>
    <w:rsid w:val="00A247A7"/>
    <w:rsid w:val="00A3053B"/>
    <w:rsid w:val="00A33807"/>
    <w:rsid w:val="00A35BFC"/>
    <w:rsid w:val="00A416F8"/>
    <w:rsid w:val="00A43AFE"/>
    <w:rsid w:val="00A47256"/>
    <w:rsid w:val="00A47D02"/>
    <w:rsid w:val="00A54AE9"/>
    <w:rsid w:val="00A5637B"/>
    <w:rsid w:val="00A5784A"/>
    <w:rsid w:val="00A5787E"/>
    <w:rsid w:val="00A6096E"/>
    <w:rsid w:val="00A64CF4"/>
    <w:rsid w:val="00A70868"/>
    <w:rsid w:val="00A745E8"/>
    <w:rsid w:val="00A76C10"/>
    <w:rsid w:val="00A76D26"/>
    <w:rsid w:val="00A82BCE"/>
    <w:rsid w:val="00A868F0"/>
    <w:rsid w:val="00A86E43"/>
    <w:rsid w:val="00A87791"/>
    <w:rsid w:val="00A92059"/>
    <w:rsid w:val="00A97F03"/>
    <w:rsid w:val="00AA29C7"/>
    <w:rsid w:val="00AA66C1"/>
    <w:rsid w:val="00AB191B"/>
    <w:rsid w:val="00AB41F5"/>
    <w:rsid w:val="00AB789D"/>
    <w:rsid w:val="00AC03A3"/>
    <w:rsid w:val="00AC59D0"/>
    <w:rsid w:val="00AC7DAF"/>
    <w:rsid w:val="00AD034C"/>
    <w:rsid w:val="00AD30F8"/>
    <w:rsid w:val="00AD3BBB"/>
    <w:rsid w:val="00AD4E22"/>
    <w:rsid w:val="00AD5ACF"/>
    <w:rsid w:val="00AD65C4"/>
    <w:rsid w:val="00AD69C2"/>
    <w:rsid w:val="00AD6ADD"/>
    <w:rsid w:val="00AE2EAF"/>
    <w:rsid w:val="00AE6208"/>
    <w:rsid w:val="00AE71DC"/>
    <w:rsid w:val="00AF5D50"/>
    <w:rsid w:val="00AF68C7"/>
    <w:rsid w:val="00B01C2E"/>
    <w:rsid w:val="00B052AD"/>
    <w:rsid w:val="00B073EB"/>
    <w:rsid w:val="00B14532"/>
    <w:rsid w:val="00B1751F"/>
    <w:rsid w:val="00B20B2A"/>
    <w:rsid w:val="00B23E55"/>
    <w:rsid w:val="00B255E8"/>
    <w:rsid w:val="00B262E2"/>
    <w:rsid w:val="00B26467"/>
    <w:rsid w:val="00B305DC"/>
    <w:rsid w:val="00B3079F"/>
    <w:rsid w:val="00B318C1"/>
    <w:rsid w:val="00B3449D"/>
    <w:rsid w:val="00B348A7"/>
    <w:rsid w:val="00B36DD7"/>
    <w:rsid w:val="00B40172"/>
    <w:rsid w:val="00B41FE3"/>
    <w:rsid w:val="00B42E0E"/>
    <w:rsid w:val="00B440C7"/>
    <w:rsid w:val="00B4486C"/>
    <w:rsid w:val="00B45F16"/>
    <w:rsid w:val="00B5006E"/>
    <w:rsid w:val="00B509C7"/>
    <w:rsid w:val="00B520D8"/>
    <w:rsid w:val="00B571FC"/>
    <w:rsid w:val="00B572BF"/>
    <w:rsid w:val="00B57961"/>
    <w:rsid w:val="00B6240C"/>
    <w:rsid w:val="00B640EF"/>
    <w:rsid w:val="00B71E57"/>
    <w:rsid w:val="00B74066"/>
    <w:rsid w:val="00B74A99"/>
    <w:rsid w:val="00B75FF5"/>
    <w:rsid w:val="00B83EFC"/>
    <w:rsid w:val="00B84BFF"/>
    <w:rsid w:val="00B87DBC"/>
    <w:rsid w:val="00B9106C"/>
    <w:rsid w:val="00B91B73"/>
    <w:rsid w:val="00B93621"/>
    <w:rsid w:val="00B96936"/>
    <w:rsid w:val="00BA2B06"/>
    <w:rsid w:val="00BA6053"/>
    <w:rsid w:val="00BB2D4F"/>
    <w:rsid w:val="00BB2DCF"/>
    <w:rsid w:val="00BB4AC6"/>
    <w:rsid w:val="00BB6CDF"/>
    <w:rsid w:val="00BB7340"/>
    <w:rsid w:val="00BC3159"/>
    <w:rsid w:val="00BD03E2"/>
    <w:rsid w:val="00BD25AE"/>
    <w:rsid w:val="00BD413F"/>
    <w:rsid w:val="00BD5386"/>
    <w:rsid w:val="00BD61C9"/>
    <w:rsid w:val="00BD6971"/>
    <w:rsid w:val="00BD6FA8"/>
    <w:rsid w:val="00BE4782"/>
    <w:rsid w:val="00BF0AE7"/>
    <w:rsid w:val="00BF1240"/>
    <w:rsid w:val="00BF268B"/>
    <w:rsid w:val="00BF3759"/>
    <w:rsid w:val="00BF3B28"/>
    <w:rsid w:val="00BF633C"/>
    <w:rsid w:val="00C00C4C"/>
    <w:rsid w:val="00C02FD5"/>
    <w:rsid w:val="00C0475C"/>
    <w:rsid w:val="00C04DB3"/>
    <w:rsid w:val="00C059A6"/>
    <w:rsid w:val="00C10F16"/>
    <w:rsid w:val="00C11552"/>
    <w:rsid w:val="00C126D2"/>
    <w:rsid w:val="00C1448B"/>
    <w:rsid w:val="00C1464A"/>
    <w:rsid w:val="00C14B6F"/>
    <w:rsid w:val="00C154B7"/>
    <w:rsid w:val="00C168BD"/>
    <w:rsid w:val="00C23252"/>
    <w:rsid w:val="00C26958"/>
    <w:rsid w:val="00C30018"/>
    <w:rsid w:val="00C3296F"/>
    <w:rsid w:val="00C332C4"/>
    <w:rsid w:val="00C352E4"/>
    <w:rsid w:val="00C354D3"/>
    <w:rsid w:val="00C43805"/>
    <w:rsid w:val="00C462F8"/>
    <w:rsid w:val="00C477FA"/>
    <w:rsid w:val="00C546D6"/>
    <w:rsid w:val="00C57508"/>
    <w:rsid w:val="00C5774F"/>
    <w:rsid w:val="00C613BA"/>
    <w:rsid w:val="00C618F6"/>
    <w:rsid w:val="00C61DE2"/>
    <w:rsid w:val="00C62F92"/>
    <w:rsid w:val="00C640B8"/>
    <w:rsid w:val="00C6419E"/>
    <w:rsid w:val="00C66A08"/>
    <w:rsid w:val="00C67D54"/>
    <w:rsid w:val="00C724DA"/>
    <w:rsid w:val="00C72F18"/>
    <w:rsid w:val="00C73711"/>
    <w:rsid w:val="00C7642C"/>
    <w:rsid w:val="00C76E7D"/>
    <w:rsid w:val="00C8193C"/>
    <w:rsid w:val="00C82158"/>
    <w:rsid w:val="00C85ADF"/>
    <w:rsid w:val="00C85C6D"/>
    <w:rsid w:val="00C8638E"/>
    <w:rsid w:val="00C87256"/>
    <w:rsid w:val="00C961A7"/>
    <w:rsid w:val="00C96E32"/>
    <w:rsid w:val="00CA57E3"/>
    <w:rsid w:val="00CB59EF"/>
    <w:rsid w:val="00CC0F7C"/>
    <w:rsid w:val="00CC15A7"/>
    <w:rsid w:val="00CC2BFA"/>
    <w:rsid w:val="00CC30D3"/>
    <w:rsid w:val="00CD0A2C"/>
    <w:rsid w:val="00CD2950"/>
    <w:rsid w:val="00CD439B"/>
    <w:rsid w:val="00CE017B"/>
    <w:rsid w:val="00CE24F0"/>
    <w:rsid w:val="00CE32E2"/>
    <w:rsid w:val="00CE3808"/>
    <w:rsid w:val="00CF5285"/>
    <w:rsid w:val="00CF76CD"/>
    <w:rsid w:val="00D018D9"/>
    <w:rsid w:val="00D03165"/>
    <w:rsid w:val="00D03A9F"/>
    <w:rsid w:val="00D05356"/>
    <w:rsid w:val="00D055FA"/>
    <w:rsid w:val="00D06682"/>
    <w:rsid w:val="00D11A58"/>
    <w:rsid w:val="00D126C3"/>
    <w:rsid w:val="00D13ACA"/>
    <w:rsid w:val="00D167F3"/>
    <w:rsid w:val="00D16800"/>
    <w:rsid w:val="00D1773E"/>
    <w:rsid w:val="00D2204D"/>
    <w:rsid w:val="00D22C0D"/>
    <w:rsid w:val="00D263D1"/>
    <w:rsid w:val="00D26A4D"/>
    <w:rsid w:val="00D2710A"/>
    <w:rsid w:val="00D36C3F"/>
    <w:rsid w:val="00D37726"/>
    <w:rsid w:val="00D425F8"/>
    <w:rsid w:val="00D44A4D"/>
    <w:rsid w:val="00D51EB4"/>
    <w:rsid w:val="00D53652"/>
    <w:rsid w:val="00D600A7"/>
    <w:rsid w:val="00D6048E"/>
    <w:rsid w:val="00D60BED"/>
    <w:rsid w:val="00D64E1E"/>
    <w:rsid w:val="00D714C0"/>
    <w:rsid w:val="00D7231F"/>
    <w:rsid w:val="00D72621"/>
    <w:rsid w:val="00D773A7"/>
    <w:rsid w:val="00D803BB"/>
    <w:rsid w:val="00D805FB"/>
    <w:rsid w:val="00D825B1"/>
    <w:rsid w:val="00D830CB"/>
    <w:rsid w:val="00D867F7"/>
    <w:rsid w:val="00D87312"/>
    <w:rsid w:val="00D87ABC"/>
    <w:rsid w:val="00D90355"/>
    <w:rsid w:val="00D91EB1"/>
    <w:rsid w:val="00D9203A"/>
    <w:rsid w:val="00D93202"/>
    <w:rsid w:val="00D95963"/>
    <w:rsid w:val="00D968CC"/>
    <w:rsid w:val="00DA01FB"/>
    <w:rsid w:val="00DA0535"/>
    <w:rsid w:val="00DA3206"/>
    <w:rsid w:val="00DA62A5"/>
    <w:rsid w:val="00DA7522"/>
    <w:rsid w:val="00DA7F03"/>
    <w:rsid w:val="00DB3605"/>
    <w:rsid w:val="00DB3B10"/>
    <w:rsid w:val="00DB440C"/>
    <w:rsid w:val="00DB5B99"/>
    <w:rsid w:val="00DB5C0A"/>
    <w:rsid w:val="00DB6E45"/>
    <w:rsid w:val="00DC22B0"/>
    <w:rsid w:val="00DC700A"/>
    <w:rsid w:val="00DC7CA8"/>
    <w:rsid w:val="00DD0E2F"/>
    <w:rsid w:val="00DD12EF"/>
    <w:rsid w:val="00DD1340"/>
    <w:rsid w:val="00DD1717"/>
    <w:rsid w:val="00DD38C6"/>
    <w:rsid w:val="00DD6109"/>
    <w:rsid w:val="00DE0682"/>
    <w:rsid w:val="00DE4EB8"/>
    <w:rsid w:val="00DE7225"/>
    <w:rsid w:val="00DE7C04"/>
    <w:rsid w:val="00DF0C43"/>
    <w:rsid w:val="00DF152F"/>
    <w:rsid w:val="00DF202D"/>
    <w:rsid w:val="00DF251D"/>
    <w:rsid w:val="00DF3D63"/>
    <w:rsid w:val="00DF6766"/>
    <w:rsid w:val="00E01CE2"/>
    <w:rsid w:val="00E025FC"/>
    <w:rsid w:val="00E12E3D"/>
    <w:rsid w:val="00E13EA0"/>
    <w:rsid w:val="00E15FCC"/>
    <w:rsid w:val="00E23193"/>
    <w:rsid w:val="00E31F15"/>
    <w:rsid w:val="00E35874"/>
    <w:rsid w:val="00E42CB6"/>
    <w:rsid w:val="00E458A5"/>
    <w:rsid w:val="00E4728C"/>
    <w:rsid w:val="00E51A12"/>
    <w:rsid w:val="00E5219D"/>
    <w:rsid w:val="00E543C2"/>
    <w:rsid w:val="00E5499A"/>
    <w:rsid w:val="00E54F5B"/>
    <w:rsid w:val="00E56D99"/>
    <w:rsid w:val="00E63100"/>
    <w:rsid w:val="00E6377A"/>
    <w:rsid w:val="00E65A18"/>
    <w:rsid w:val="00E65DF5"/>
    <w:rsid w:val="00E66067"/>
    <w:rsid w:val="00E660F4"/>
    <w:rsid w:val="00E7264C"/>
    <w:rsid w:val="00E73E9D"/>
    <w:rsid w:val="00E7612B"/>
    <w:rsid w:val="00E761AD"/>
    <w:rsid w:val="00E7659B"/>
    <w:rsid w:val="00E77246"/>
    <w:rsid w:val="00E8397E"/>
    <w:rsid w:val="00E84007"/>
    <w:rsid w:val="00E91D09"/>
    <w:rsid w:val="00E9244E"/>
    <w:rsid w:val="00E94C3F"/>
    <w:rsid w:val="00E96CEA"/>
    <w:rsid w:val="00EA2EDE"/>
    <w:rsid w:val="00EA3100"/>
    <w:rsid w:val="00EA3D61"/>
    <w:rsid w:val="00EA3EA1"/>
    <w:rsid w:val="00EB24A8"/>
    <w:rsid w:val="00EB3CA6"/>
    <w:rsid w:val="00EB47F4"/>
    <w:rsid w:val="00EB5460"/>
    <w:rsid w:val="00EB6CDA"/>
    <w:rsid w:val="00EC303E"/>
    <w:rsid w:val="00EC51CC"/>
    <w:rsid w:val="00EC6808"/>
    <w:rsid w:val="00ED2E52"/>
    <w:rsid w:val="00ED3EB3"/>
    <w:rsid w:val="00EE0E37"/>
    <w:rsid w:val="00EE1C0C"/>
    <w:rsid w:val="00EE1FB4"/>
    <w:rsid w:val="00EF2BF7"/>
    <w:rsid w:val="00F000E5"/>
    <w:rsid w:val="00F0787D"/>
    <w:rsid w:val="00F13622"/>
    <w:rsid w:val="00F16268"/>
    <w:rsid w:val="00F17165"/>
    <w:rsid w:val="00F20363"/>
    <w:rsid w:val="00F22846"/>
    <w:rsid w:val="00F25EFA"/>
    <w:rsid w:val="00F26090"/>
    <w:rsid w:val="00F26898"/>
    <w:rsid w:val="00F27AAF"/>
    <w:rsid w:val="00F27D9A"/>
    <w:rsid w:val="00F31A21"/>
    <w:rsid w:val="00F35383"/>
    <w:rsid w:val="00F370D9"/>
    <w:rsid w:val="00F41D71"/>
    <w:rsid w:val="00F46757"/>
    <w:rsid w:val="00F4710C"/>
    <w:rsid w:val="00F55893"/>
    <w:rsid w:val="00F603D8"/>
    <w:rsid w:val="00F618C4"/>
    <w:rsid w:val="00F630D7"/>
    <w:rsid w:val="00F6474A"/>
    <w:rsid w:val="00F65450"/>
    <w:rsid w:val="00F670C3"/>
    <w:rsid w:val="00F718CB"/>
    <w:rsid w:val="00F74FF2"/>
    <w:rsid w:val="00F765EA"/>
    <w:rsid w:val="00F7747B"/>
    <w:rsid w:val="00F7781D"/>
    <w:rsid w:val="00F84278"/>
    <w:rsid w:val="00F8465E"/>
    <w:rsid w:val="00F84D17"/>
    <w:rsid w:val="00F91522"/>
    <w:rsid w:val="00F94698"/>
    <w:rsid w:val="00F97BB8"/>
    <w:rsid w:val="00FA0FBE"/>
    <w:rsid w:val="00FB03DD"/>
    <w:rsid w:val="00FB14A9"/>
    <w:rsid w:val="00FB2869"/>
    <w:rsid w:val="00FB289B"/>
    <w:rsid w:val="00FB4BE6"/>
    <w:rsid w:val="00FB4F46"/>
    <w:rsid w:val="00FC1E31"/>
    <w:rsid w:val="00FC3DFA"/>
    <w:rsid w:val="00FC409A"/>
    <w:rsid w:val="00FC6666"/>
    <w:rsid w:val="00FD1C30"/>
    <w:rsid w:val="00FD21F5"/>
    <w:rsid w:val="00FD23AE"/>
    <w:rsid w:val="00FD5E04"/>
    <w:rsid w:val="00FE5E08"/>
    <w:rsid w:val="00FE6006"/>
    <w:rsid w:val="00FF0646"/>
    <w:rsid w:val="00FF1229"/>
    <w:rsid w:val="00FF1603"/>
    <w:rsid w:val="00FF1E19"/>
    <w:rsid w:val="00FF2F1E"/>
    <w:rsid w:val="00FF5A92"/>
    <w:rsid w:val="012875B6"/>
    <w:rsid w:val="014360A6"/>
    <w:rsid w:val="02E87A48"/>
    <w:rsid w:val="034A78ED"/>
    <w:rsid w:val="037433AE"/>
    <w:rsid w:val="03C31947"/>
    <w:rsid w:val="0441727D"/>
    <w:rsid w:val="046276BE"/>
    <w:rsid w:val="05005501"/>
    <w:rsid w:val="070702F4"/>
    <w:rsid w:val="074E2EF7"/>
    <w:rsid w:val="0AB15447"/>
    <w:rsid w:val="0E6B4DB0"/>
    <w:rsid w:val="0F1B6CD0"/>
    <w:rsid w:val="11FE6AB6"/>
    <w:rsid w:val="13A97DA6"/>
    <w:rsid w:val="14C66FFF"/>
    <w:rsid w:val="15B75B96"/>
    <w:rsid w:val="160B6E8A"/>
    <w:rsid w:val="18C876D8"/>
    <w:rsid w:val="192858F3"/>
    <w:rsid w:val="1AF06BD2"/>
    <w:rsid w:val="1B941AF9"/>
    <w:rsid w:val="1C554860"/>
    <w:rsid w:val="1DF26F67"/>
    <w:rsid w:val="1EF70826"/>
    <w:rsid w:val="208C08C0"/>
    <w:rsid w:val="20B72FAE"/>
    <w:rsid w:val="22BB26DA"/>
    <w:rsid w:val="2411401D"/>
    <w:rsid w:val="24DD35BB"/>
    <w:rsid w:val="24F6228C"/>
    <w:rsid w:val="280B42F7"/>
    <w:rsid w:val="2A232041"/>
    <w:rsid w:val="2DB76E2E"/>
    <w:rsid w:val="2EBB1F30"/>
    <w:rsid w:val="2F28590C"/>
    <w:rsid w:val="2F8D1637"/>
    <w:rsid w:val="303A7A8C"/>
    <w:rsid w:val="308C68A9"/>
    <w:rsid w:val="30D434F9"/>
    <w:rsid w:val="315A7F84"/>
    <w:rsid w:val="323E249D"/>
    <w:rsid w:val="34144176"/>
    <w:rsid w:val="349F1D9B"/>
    <w:rsid w:val="379F3D86"/>
    <w:rsid w:val="38241AB4"/>
    <w:rsid w:val="3867685F"/>
    <w:rsid w:val="38973E46"/>
    <w:rsid w:val="38C6732B"/>
    <w:rsid w:val="39A7169D"/>
    <w:rsid w:val="3D2E3739"/>
    <w:rsid w:val="3D70315C"/>
    <w:rsid w:val="3E9A6E1D"/>
    <w:rsid w:val="3F7D3C42"/>
    <w:rsid w:val="41670FF3"/>
    <w:rsid w:val="4497399D"/>
    <w:rsid w:val="44C6048B"/>
    <w:rsid w:val="47946B03"/>
    <w:rsid w:val="48B92125"/>
    <w:rsid w:val="494F0DCF"/>
    <w:rsid w:val="49E97788"/>
    <w:rsid w:val="4BFF01F4"/>
    <w:rsid w:val="50AC2754"/>
    <w:rsid w:val="520A3684"/>
    <w:rsid w:val="544F1A03"/>
    <w:rsid w:val="55C00E1C"/>
    <w:rsid w:val="55DF7DF0"/>
    <w:rsid w:val="55EE10FA"/>
    <w:rsid w:val="56644DE9"/>
    <w:rsid w:val="56DB2C2D"/>
    <w:rsid w:val="57A37CC2"/>
    <w:rsid w:val="596C3E55"/>
    <w:rsid w:val="5CB60998"/>
    <w:rsid w:val="60A56D41"/>
    <w:rsid w:val="621E2D9F"/>
    <w:rsid w:val="62DB101A"/>
    <w:rsid w:val="63AB3CC0"/>
    <w:rsid w:val="66AB0B37"/>
    <w:rsid w:val="67786BC4"/>
    <w:rsid w:val="6C0B610A"/>
    <w:rsid w:val="6D1E3C1B"/>
    <w:rsid w:val="6D4D7972"/>
    <w:rsid w:val="6D856790"/>
    <w:rsid w:val="6E714342"/>
    <w:rsid w:val="70673C73"/>
    <w:rsid w:val="706E3F88"/>
    <w:rsid w:val="709B1B6F"/>
    <w:rsid w:val="71696745"/>
    <w:rsid w:val="725331E3"/>
    <w:rsid w:val="746A4541"/>
    <w:rsid w:val="7515188F"/>
    <w:rsid w:val="77387551"/>
    <w:rsid w:val="787378B8"/>
    <w:rsid w:val="792B0D8C"/>
    <w:rsid w:val="7A5A4548"/>
    <w:rsid w:val="7B0D78D9"/>
    <w:rsid w:val="7C856A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ocked="1"/>
    <w:lsdException w:qFormat="1" w:unhideWhenUsed="0" w:uiPriority="39" w:semiHidden="0" w:name="toc 2" w:locked="1"/>
    <w:lsdException w:qFormat="1" w:unhideWhenUsed="0" w:uiPriority="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2">
    <w:name w:val="heading 1"/>
    <w:basedOn w:val="1"/>
    <w:next w:val="1"/>
    <w:link w:val="49"/>
    <w:autoRedefine/>
    <w:qFormat/>
    <w:locked/>
    <w:uiPriority w:val="0"/>
    <w:pPr>
      <w:keepNext/>
      <w:keepLines/>
      <w:spacing w:before="340" w:after="330" w:line="578" w:lineRule="auto"/>
      <w:outlineLvl w:val="0"/>
    </w:pPr>
    <w:rPr>
      <w:rFonts w:eastAsia="宋体"/>
      <w:b/>
      <w:bCs/>
      <w:kern w:val="44"/>
      <w:sz w:val="44"/>
      <w:szCs w:val="44"/>
    </w:rPr>
  </w:style>
  <w:style w:type="paragraph" w:styleId="3">
    <w:name w:val="heading 2"/>
    <w:basedOn w:val="1"/>
    <w:next w:val="1"/>
    <w:link w:val="30"/>
    <w:autoRedefine/>
    <w:qFormat/>
    <w:locked/>
    <w:uiPriority w:val="0"/>
    <w:pPr>
      <w:keepNext/>
      <w:keepLines/>
      <w:spacing w:before="260" w:after="260" w:line="416" w:lineRule="auto"/>
      <w:outlineLvl w:val="1"/>
    </w:pPr>
    <w:rPr>
      <w:rFonts w:ascii="Cambria" w:hAnsi="Cambria" w:eastAsia="宋体" w:cs="Cambria"/>
      <w:b/>
      <w:bCs/>
    </w:rPr>
  </w:style>
  <w:style w:type="paragraph" w:styleId="4">
    <w:name w:val="heading 3"/>
    <w:basedOn w:val="1"/>
    <w:next w:val="1"/>
    <w:link w:val="31"/>
    <w:autoRedefine/>
    <w:qFormat/>
    <w:locked/>
    <w:uiPriority w:val="0"/>
    <w:pPr>
      <w:keepNext/>
      <w:keepLines/>
      <w:spacing w:before="260" w:after="260" w:line="416" w:lineRule="auto"/>
      <w:outlineLvl w:val="2"/>
    </w:pPr>
    <w:rPr>
      <w:rFonts w:eastAsia="宋体"/>
      <w:b/>
      <w:bCs/>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szCs w:val="20"/>
    </w:rPr>
  </w:style>
  <w:style w:type="paragraph" w:styleId="6">
    <w:name w:val="annotation text"/>
    <w:basedOn w:val="1"/>
    <w:link w:val="45"/>
    <w:semiHidden/>
    <w:qFormat/>
    <w:uiPriority w:val="0"/>
    <w:pPr>
      <w:jc w:val="left"/>
    </w:pPr>
    <w:rPr>
      <w:rFonts w:eastAsia="宋体"/>
      <w:sz w:val="21"/>
      <w:szCs w:val="21"/>
    </w:rPr>
  </w:style>
  <w:style w:type="paragraph" w:styleId="7">
    <w:name w:val="Body Text"/>
    <w:basedOn w:val="1"/>
    <w:link w:val="40"/>
    <w:autoRedefine/>
    <w:qFormat/>
    <w:uiPriority w:val="0"/>
    <w:pPr>
      <w:spacing w:after="120"/>
    </w:pPr>
  </w:style>
  <w:style w:type="paragraph" w:styleId="8">
    <w:name w:val="Body Text Indent"/>
    <w:basedOn w:val="1"/>
    <w:autoRedefine/>
    <w:qFormat/>
    <w:uiPriority w:val="0"/>
    <w:pPr>
      <w:spacing w:after="120"/>
      <w:ind w:left="420" w:leftChars="200"/>
    </w:pPr>
  </w:style>
  <w:style w:type="paragraph" w:styleId="9">
    <w:name w:val="toc 3"/>
    <w:basedOn w:val="1"/>
    <w:next w:val="1"/>
    <w:semiHidden/>
    <w:qFormat/>
    <w:locked/>
    <w:uiPriority w:val="0"/>
    <w:pPr>
      <w:tabs>
        <w:tab w:val="right" w:leader="dot" w:pos="8296"/>
      </w:tabs>
      <w:ind w:left="840" w:leftChars="400"/>
    </w:pPr>
    <w:rPr>
      <w:rFonts w:eastAsia="宋体"/>
      <w:sz w:val="21"/>
      <w:szCs w:val="21"/>
    </w:rPr>
  </w:style>
  <w:style w:type="paragraph" w:styleId="10">
    <w:name w:val="Date"/>
    <w:basedOn w:val="1"/>
    <w:next w:val="1"/>
    <w:link w:val="32"/>
    <w:qFormat/>
    <w:uiPriority w:val="0"/>
    <w:pPr>
      <w:ind w:left="100" w:leftChars="2500"/>
    </w:pPr>
    <w:rPr>
      <w:rFonts w:ascii="仿宋_GB2312" w:eastAsia="仿宋_GB2312"/>
      <w:sz w:val="30"/>
    </w:rPr>
  </w:style>
  <w:style w:type="paragraph" w:styleId="11">
    <w:name w:val="Balloon Text"/>
    <w:basedOn w:val="1"/>
    <w:link w:val="44"/>
    <w:autoRedefine/>
    <w:semiHidden/>
    <w:qFormat/>
    <w:uiPriority w:val="0"/>
    <w:rPr>
      <w:rFonts w:eastAsia="宋体"/>
      <w:sz w:val="18"/>
      <w:szCs w:val="18"/>
    </w:rPr>
  </w:style>
  <w:style w:type="paragraph" w:styleId="12">
    <w:name w:val="footer"/>
    <w:basedOn w:val="1"/>
    <w:link w:val="33"/>
    <w:autoRedefine/>
    <w:qFormat/>
    <w:uiPriority w:val="0"/>
    <w:pPr>
      <w:tabs>
        <w:tab w:val="center" w:pos="4153"/>
        <w:tab w:val="right" w:pos="8306"/>
      </w:tabs>
      <w:snapToGrid w:val="0"/>
      <w:jc w:val="left"/>
    </w:pPr>
    <w:rPr>
      <w:sz w:val="18"/>
      <w:szCs w:val="18"/>
    </w:rPr>
  </w:style>
  <w:style w:type="paragraph" w:styleId="13">
    <w:name w:val="header"/>
    <w:basedOn w:val="1"/>
    <w:link w:val="34"/>
    <w:autoRedefine/>
    <w:semiHidden/>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locked/>
    <w:uiPriority w:val="39"/>
    <w:pPr>
      <w:tabs>
        <w:tab w:val="right" w:leader="dot" w:pos="8296"/>
      </w:tabs>
      <w:spacing w:before="93"/>
      <w:jc w:val="left"/>
    </w:pPr>
    <w:rPr>
      <w:rFonts w:eastAsia="黑体"/>
      <w:bCs/>
      <w:color w:val="FF0000"/>
      <w:sz w:val="28"/>
      <w:szCs w:val="28"/>
    </w:rPr>
  </w:style>
  <w:style w:type="paragraph" w:styleId="15">
    <w:name w:val="Body Text Indent 3"/>
    <w:basedOn w:val="1"/>
    <w:qFormat/>
    <w:uiPriority w:val="0"/>
    <w:pPr>
      <w:ind w:firstLine="632" w:firstLineChars="200"/>
    </w:pPr>
    <w:rPr>
      <w:rFonts w:ascii="仿宋_GB2312" w:eastAsia="仿宋_GB2312"/>
      <w:u w:val="single"/>
    </w:rPr>
  </w:style>
  <w:style w:type="paragraph" w:styleId="16">
    <w:name w:val="toc 2"/>
    <w:basedOn w:val="1"/>
    <w:next w:val="1"/>
    <w:qFormat/>
    <w:locked/>
    <w:uiPriority w:val="39"/>
    <w:pPr>
      <w:tabs>
        <w:tab w:val="right" w:leader="dot" w:pos="8296"/>
      </w:tabs>
      <w:ind w:left="420" w:leftChars="200"/>
    </w:pPr>
    <w:rPr>
      <w:rFonts w:eastAsia="宋体"/>
      <w:sz w:val="21"/>
      <w:szCs w:val="21"/>
    </w:rPr>
  </w:style>
  <w:style w:type="paragraph" w:styleId="1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8">
    <w:name w:val="annotation subject"/>
    <w:basedOn w:val="6"/>
    <w:next w:val="6"/>
    <w:link w:val="46"/>
    <w:semiHidden/>
    <w:qFormat/>
    <w:uiPriority w:val="0"/>
    <w:rPr>
      <w:b/>
      <w:bCs/>
    </w:rPr>
  </w:style>
  <w:style w:type="table" w:styleId="20">
    <w:name w:val="Table Grid"/>
    <w:basedOn w:val="19"/>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locked/>
    <w:uiPriority w:val="0"/>
    <w:rPr>
      <w:rFonts w:cs="Times New Roman"/>
      <w:b/>
      <w:bCs/>
    </w:rPr>
  </w:style>
  <w:style w:type="character" w:styleId="23">
    <w:name w:val="page number"/>
    <w:qFormat/>
    <w:uiPriority w:val="0"/>
    <w:rPr>
      <w:rFonts w:cs="Times New Roman"/>
    </w:rPr>
  </w:style>
  <w:style w:type="character" w:styleId="24">
    <w:name w:val="Hyperlink"/>
    <w:qFormat/>
    <w:uiPriority w:val="99"/>
    <w:rPr>
      <w:rFonts w:cs="Times New Roman"/>
      <w:color w:val="0000FF"/>
      <w:u w:val="single"/>
    </w:rPr>
  </w:style>
  <w:style w:type="character" w:styleId="25">
    <w:name w:val="annotation reference"/>
    <w:qFormat/>
    <w:uiPriority w:val="0"/>
    <w:rPr>
      <w:sz w:val="21"/>
      <w:szCs w:val="21"/>
    </w:rPr>
  </w:style>
  <w:style w:type="paragraph" w:customStyle="1" w:styleId="26">
    <w:name w:val="正文-公1"/>
    <w:basedOn w:val="27"/>
    <w:next w:val="1"/>
    <w:autoRedefine/>
    <w:qFormat/>
    <w:uiPriority w:val="0"/>
    <w:pPr>
      <w:ind w:firstLine="200" w:firstLineChars="200"/>
    </w:pPr>
  </w:style>
  <w:style w:type="paragraph" w:customStyle="1" w:styleId="2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6"/>
    <w:qFormat/>
    <w:uiPriority w:val="0"/>
    <w:pPr>
      <w:widowControl w:val="0"/>
      <w:jc w:val="both"/>
    </w:pPr>
    <w:rPr>
      <w:rFonts w:ascii="Times New Roman" w:hAnsi="Times New Roman" w:eastAsia="宋体" w:cs="Times New Roman"/>
      <w:kern w:val="2"/>
      <w:sz w:val="21"/>
      <w:lang w:val="en-US" w:eastAsia="zh-CN"/>
    </w:rPr>
  </w:style>
  <w:style w:type="character" w:customStyle="1" w:styleId="28">
    <w:name w:val="标题 1 Char"/>
    <w:basedOn w:val="21"/>
    <w:link w:val="2"/>
    <w:qFormat/>
    <w:locked/>
    <w:uiPriority w:val="0"/>
    <w:rPr>
      <w:rFonts w:eastAsia="宋体"/>
      <w:b/>
      <w:bCs/>
      <w:kern w:val="44"/>
      <w:sz w:val="44"/>
      <w:szCs w:val="44"/>
      <w:lang w:val="en-US" w:eastAsia="zh-CN" w:bidi="ar-SA"/>
    </w:rPr>
  </w:style>
  <w:style w:type="paragraph" w:customStyle="1" w:styleId="29">
    <w:name w:val="_Style 7"/>
    <w:basedOn w:val="1"/>
    <w:qFormat/>
    <w:uiPriority w:val="0"/>
    <w:pPr>
      <w:widowControl/>
      <w:snapToGrid w:val="0"/>
      <w:spacing w:line="240" w:lineRule="exact"/>
      <w:jc w:val="left"/>
    </w:pPr>
    <w:rPr>
      <w:rFonts w:ascii="Verdana" w:hAnsi="Verdana" w:eastAsia="宋体"/>
      <w:kern w:val="0"/>
      <w:sz w:val="20"/>
      <w:szCs w:val="20"/>
      <w:lang w:eastAsia="en-US"/>
    </w:rPr>
  </w:style>
  <w:style w:type="character" w:customStyle="1" w:styleId="30">
    <w:name w:val="标题 2 Char"/>
    <w:basedOn w:val="21"/>
    <w:link w:val="3"/>
    <w:qFormat/>
    <w:locked/>
    <w:uiPriority w:val="9"/>
    <w:rPr>
      <w:rFonts w:ascii="Cambria" w:hAnsi="Cambria" w:eastAsia="宋体" w:cs="Cambria"/>
      <w:b/>
      <w:bCs/>
      <w:kern w:val="2"/>
      <w:sz w:val="32"/>
      <w:szCs w:val="32"/>
      <w:lang w:val="en-US" w:eastAsia="zh-CN" w:bidi="ar-SA"/>
    </w:rPr>
  </w:style>
  <w:style w:type="character" w:customStyle="1" w:styleId="31">
    <w:name w:val="标题 3 Char"/>
    <w:link w:val="4"/>
    <w:qFormat/>
    <w:locked/>
    <w:uiPriority w:val="0"/>
    <w:rPr>
      <w:rFonts w:eastAsia="宋体"/>
      <w:b/>
      <w:bCs/>
      <w:kern w:val="2"/>
      <w:sz w:val="32"/>
      <w:szCs w:val="32"/>
      <w:lang w:val="en-US" w:eastAsia="zh-CN" w:bidi="ar-SA"/>
    </w:rPr>
  </w:style>
  <w:style w:type="character" w:customStyle="1" w:styleId="32">
    <w:name w:val="日期 Char"/>
    <w:link w:val="10"/>
    <w:qFormat/>
    <w:locked/>
    <w:uiPriority w:val="0"/>
    <w:rPr>
      <w:rFonts w:ascii="仿宋_GB2312" w:hAnsi="Times New Roman" w:eastAsia="仿宋_GB2312" w:cs="Times New Roman"/>
      <w:sz w:val="32"/>
      <w:szCs w:val="32"/>
    </w:rPr>
  </w:style>
  <w:style w:type="character" w:customStyle="1" w:styleId="33">
    <w:name w:val="页脚 Char"/>
    <w:link w:val="12"/>
    <w:qFormat/>
    <w:locked/>
    <w:uiPriority w:val="0"/>
    <w:rPr>
      <w:rFonts w:ascii="Times New Roman" w:hAnsi="Times New Roman" w:eastAsia="方正仿宋_GBK" w:cs="Times New Roman"/>
      <w:sz w:val="18"/>
      <w:szCs w:val="18"/>
    </w:rPr>
  </w:style>
  <w:style w:type="character" w:customStyle="1" w:styleId="34">
    <w:name w:val="页眉 Char"/>
    <w:link w:val="13"/>
    <w:semiHidden/>
    <w:qFormat/>
    <w:locked/>
    <w:uiPriority w:val="0"/>
    <w:rPr>
      <w:rFonts w:ascii="Times New Roman" w:hAnsi="Times New Roman" w:eastAsia="方正仿宋_GBK" w:cs="Times New Roman"/>
      <w:sz w:val="18"/>
      <w:szCs w:val="18"/>
    </w:rPr>
  </w:style>
  <w:style w:type="paragraph" w:styleId="35">
    <w:name w:val="List Paragraph"/>
    <w:basedOn w:val="1"/>
    <w:qFormat/>
    <w:uiPriority w:val="0"/>
    <w:pPr>
      <w:ind w:firstLine="420" w:firstLineChars="200"/>
    </w:pPr>
    <w:rPr>
      <w:rFonts w:ascii="Calibri" w:hAnsi="Calibri" w:eastAsia="宋体"/>
      <w:sz w:val="21"/>
      <w:szCs w:val="22"/>
    </w:rPr>
  </w:style>
  <w:style w:type="paragraph" w:customStyle="1" w:styleId="36">
    <w:name w:val="列出段落1"/>
    <w:basedOn w:val="1"/>
    <w:qFormat/>
    <w:uiPriority w:val="0"/>
    <w:pPr>
      <w:ind w:firstLine="420" w:firstLineChars="200"/>
    </w:pPr>
    <w:rPr>
      <w:rFonts w:eastAsia="仿宋_GB2312"/>
    </w:rPr>
  </w:style>
  <w:style w:type="paragraph" w:customStyle="1" w:styleId="37">
    <w:name w:val="列出段落11"/>
    <w:basedOn w:val="1"/>
    <w:qFormat/>
    <w:uiPriority w:val="0"/>
    <w:pPr>
      <w:ind w:firstLine="420" w:firstLineChars="200"/>
    </w:pPr>
    <w:rPr>
      <w:rFonts w:eastAsia="宋体"/>
      <w:sz w:val="21"/>
      <w:szCs w:val="21"/>
    </w:rPr>
  </w:style>
  <w:style w:type="character" w:customStyle="1" w:styleId="38">
    <w:name w:val="Char Char2"/>
    <w:qFormat/>
    <w:uiPriority w:val="0"/>
    <w:rPr>
      <w:rFonts w:ascii="仿宋_GB2312" w:hAnsi="Times New Roman" w:eastAsia="仿宋_GB2312" w:cs="Times New Roman"/>
      <w:sz w:val="30"/>
      <w:szCs w:val="32"/>
    </w:rPr>
  </w:style>
  <w:style w:type="character" w:customStyle="1" w:styleId="39">
    <w:name w:val="Char Char4"/>
    <w:qFormat/>
    <w:locked/>
    <w:uiPriority w:val="0"/>
    <w:rPr>
      <w:rFonts w:eastAsia="宋体"/>
      <w:kern w:val="2"/>
      <w:sz w:val="18"/>
      <w:szCs w:val="18"/>
      <w:lang w:val="en-US" w:eastAsia="zh-CN"/>
    </w:rPr>
  </w:style>
  <w:style w:type="character" w:customStyle="1" w:styleId="40">
    <w:name w:val="正文文本 Char"/>
    <w:link w:val="7"/>
    <w:qFormat/>
    <w:locked/>
    <w:uiPriority w:val="0"/>
    <w:rPr>
      <w:rFonts w:eastAsia="方正仿宋_GBK"/>
      <w:kern w:val="2"/>
      <w:sz w:val="32"/>
      <w:szCs w:val="32"/>
      <w:lang w:val="en-US" w:eastAsia="zh-CN" w:bidi="ar-SA"/>
    </w:rPr>
  </w:style>
  <w:style w:type="character" w:customStyle="1" w:styleId="41">
    <w:name w:val="Footer Char1"/>
    <w:qFormat/>
    <w:locked/>
    <w:uiPriority w:val="0"/>
    <w:rPr>
      <w:sz w:val="18"/>
    </w:rPr>
  </w:style>
  <w:style w:type="paragraph" w:customStyle="1" w:styleId="4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3">
    <w:name w:val="TOC 标题1"/>
    <w:basedOn w:val="2"/>
    <w:next w:val="1"/>
    <w:qFormat/>
    <w:uiPriority w:val="0"/>
    <w:pPr>
      <w:widowControl/>
      <w:spacing w:before="480" w:after="0" w:line="276" w:lineRule="auto"/>
      <w:jc w:val="left"/>
      <w:outlineLvl w:val="9"/>
    </w:pPr>
    <w:rPr>
      <w:rFonts w:ascii="Cambria" w:hAnsi="Cambria" w:cs="Cambria"/>
      <w:color w:val="365F91"/>
      <w:kern w:val="0"/>
      <w:sz w:val="28"/>
      <w:szCs w:val="28"/>
    </w:rPr>
  </w:style>
  <w:style w:type="character" w:customStyle="1" w:styleId="44">
    <w:name w:val="批注框文本 Char"/>
    <w:link w:val="11"/>
    <w:semiHidden/>
    <w:qFormat/>
    <w:locked/>
    <w:uiPriority w:val="0"/>
    <w:rPr>
      <w:rFonts w:eastAsia="宋体"/>
      <w:kern w:val="2"/>
      <w:sz w:val="18"/>
      <w:szCs w:val="18"/>
      <w:lang w:val="en-US" w:eastAsia="zh-CN" w:bidi="ar-SA"/>
    </w:rPr>
  </w:style>
  <w:style w:type="character" w:customStyle="1" w:styleId="45">
    <w:name w:val="批注文字 Char"/>
    <w:link w:val="6"/>
    <w:semiHidden/>
    <w:qFormat/>
    <w:locked/>
    <w:uiPriority w:val="0"/>
    <w:rPr>
      <w:rFonts w:eastAsia="宋体"/>
      <w:kern w:val="2"/>
      <w:sz w:val="21"/>
      <w:szCs w:val="21"/>
      <w:lang w:val="en-US" w:eastAsia="zh-CN" w:bidi="ar-SA"/>
    </w:rPr>
  </w:style>
  <w:style w:type="character" w:customStyle="1" w:styleId="46">
    <w:name w:val="批注主题 Char"/>
    <w:link w:val="18"/>
    <w:semiHidden/>
    <w:qFormat/>
    <w:locked/>
    <w:uiPriority w:val="0"/>
    <w:rPr>
      <w:rFonts w:eastAsia="宋体"/>
      <w:b/>
      <w:bCs/>
      <w:kern w:val="2"/>
      <w:sz w:val="21"/>
      <w:szCs w:val="21"/>
      <w:lang w:val="en-US" w:eastAsia="zh-CN" w:bidi="ar-SA"/>
    </w:rPr>
  </w:style>
  <w:style w:type="paragraph" w:customStyle="1" w:styleId="47">
    <w:name w:val="Char Char10"/>
    <w:basedOn w:val="1"/>
    <w:qFormat/>
    <w:uiPriority w:val="0"/>
    <w:pPr>
      <w:widowControl/>
      <w:snapToGrid w:val="0"/>
      <w:spacing w:line="240" w:lineRule="exact"/>
      <w:jc w:val="left"/>
    </w:pPr>
    <w:rPr>
      <w:rFonts w:ascii="Verdana" w:hAnsi="Verdana" w:eastAsia="宋体" w:cs="Verdana"/>
      <w:kern w:val="0"/>
      <w:sz w:val="20"/>
      <w:szCs w:val="20"/>
      <w:lang w:eastAsia="en-US"/>
    </w:rPr>
  </w:style>
  <w:style w:type="paragraph" w:customStyle="1" w:styleId="48">
    <w:name w:val="Char"/>
    <w:basedOn w:val="1"/>
    <w:qFormat/>
    <w:uiPriority w:val="0"/>
    <w:pPr>
      <w:widowControl/>
      <w:snapToGrid w:val="0"/>
      <w:spacing w:line="240" w:lineRule="exact"/>
      <w:jc w:val="left"/>
    </w:pPr>
    <w:rPr>
      <w:rFonts w:ascii="Verdana" w:hAnsi="Verdana" w:eastAsia="宋体"/>
      <w:kern w:val="0"/>
      <w:sz w:val="20"/>
      <w:szCs w:val="20"/>
      <w:lang w:eastAsia="en-US"/>
    </w:rPr>
  </w:style>
  <w:style w:type="character" w:customStyle="1" w:styleId="49">
    <w:name w:val="标题 1 字符"/>
    <w:link w:val="2"/>
    <w:qFormat/>
    <w:locked/>
    <w:uiPriority w:val="0"/>
    <w:rPr>
      <w:rFonts w:eastAsia="宋体"/>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D:\&#38389;&#27427;&#33402;\&#20915;&#31639;\2024&#24180;\&#20915;&#31639;&#20844;&#24320;\&#22270;&#34920;&#29983;&#25104;&#65288;&#21442;&#32771;&#20351;&#29992;&#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8389;&#27427;&#33402;\&#20915;&#31639;\2024&#24180;\&#20915;&#31639;&#20844;&#24320;\&#22270;&#34920;&#29983;&#25104;&#65288;&#21442;&#32771;&#20351;&#29992;&#652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8389;&#27427;&#33402;\&#20915;&#31639;\2024&#24180;\&#20915;&#31639;&#20844;&#24320;\&#22270;&#34920;&#29983;&#25104;&#65288;&#21442;&#32771;&#20351;&#29992;&#652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8389;&#27427;&#33402;\&#20915;&#31639;\2024&#24180;\&#20915;&#31639;&#20844;&#24320;\&#22270;&#34920;&#29983;&#25104;&#65288;&#21442;&#32771;&#20351;&#29992;&#652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8389;&#27427;&#33402;\&#20915;&#31639;\2024&#24180;\&#20915;&#31639;&#20844;&#24320;\&#22270;&#34920;&#29983;&#25104;&#65288;&#21442;&#32771;&#20351;&#29992;&#652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8389;&#27427;&#33402;\&#20915;&#31639;\2024&#24180;\&#20915;&#31639;&#20844;&#24320;\&#22270;&#34920;&#29983;&#25104;&#65288;&#21442;&#32771;&#20351;&#29992;&#65289;.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USER-20210416OT\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150943396226"/>
          <c:y val="0.0599078341013825"/>
          <c:w val="0.825471698113208"/>
          <c:h val="0.80184331797235"/>
        </c:manualLayout>
      </c:layout>
      <c:barChart>
        <c:barDir val="col"/>
        <c:grouping val="stacked"/>
        <c:varyColors val="0"/>
        <c:ser>
          <c:idx val="0"/>
          <c:order val="0"/>
          <c:spPr>
            <a:solidFill>
              <a:srgbClr val="FFC000"/>
            </a:solidFill>
          </c:spPr>
          <c:invertIfNegative val="0"/>
          <c:dPt>
            <c:idx val="1"/>
            <c:invertIfNegative val="0"/>
            <c:bubble3D val="0"/>
            <c:explosion val="0"/>
            <c:spPr>
              <a:solidFill>
                <a:srgbClr val="FFC000"/>
              </a:solidFill>
            </c:spPr>
          </c:dPt>
          <c:dLbls>
            <c:numFmt formatCode="#,##0.00;[Red]\-#,##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'[图表生成（参考使用）.xls]表2 图表生成'!$B$7:$C$7</c:f>
              <c:strCache>
                <c:ptCount val="2"/>
                <c:pt idx="0">
                  <c:v>2024年</c:v>
                </c:pt>
                <c:pt idx="1">
                  <c:v>2023年</c:v>
                </c:pt>
              </c:strCache>
            </c:strRef>
          </c:cat>
          <c:val>
            <c:numRef>
              <c:f>'[图表生成（参考使用）.xls]表2 图表生成'!$B$8:$C$8</c:f>
              <c:numCache>
                <c:formatCode>#,##0.00</c:formatCode>
                <c:ptCount val="2"/>
                <c:pt idx="0">
                  <c:v>14071.49</c:v>
                </c:pt>
                <c:pt idx="1">
                  <c:v>14238.59</c:v>
                </c:pt>
              </c:numCache>
            </c:numRef>
          </c:val>
        </c:ser>
        <c:dLbls>
          <c:showLegendKey val="0"/>
          <c:showVal val="0"/>
          <c:showCatName val="0"/>
          <c:showSerName val="0"/>
          <c:showPercent val="0"/>
          <c:showBubbleSize val="0"/>
        </c:dLbls>
        <c:gapWidth val="150"/>
        <c:overlap val="100"/>
        <c:axId val="685723163"/>
        <c:axId val="639354263"/>
      </c:barChart>
      <c:catAx>
        <c:axId val="685723163"/>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9354263"/>
        <c:crosses val="autoZero"/>
        <c:auto val="1"/>
        <c:lblAlgn val="ctr"/>
        <c:lblOffset val="100"/>
        <c:noMultiLvlLbl val="0"/>
      </c:catAx>
      <c:valAx>
        <c:axId val="639354263"/>
        <c:scaling>
          <c:orientation val="minMax"/>
        </c:scaling>
        <c:delete val="0"/>
        <c:axPos val="l"/>
        <c:majorGridlines>
          <c:spPr>
            <a:ln w="6350" cap="flat" cmpd="sng" algn="ct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olid"/>
              <a:round/>
            </a:ln>
          </c:spPr>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5723163"/>
        <c:crosses val="autoZero"/>
        <c:crossBetween val="between"/>
      </c:valAx>
    </c:plotArea>
    <c:plotVisOnly val="1"/>
    <c:dispBlanksAs val="gap"/>
    <c:showDLblsOverMax val="0"/>
    <c:extLst>
      <c:ext uri="{0b15fc19-7d7d-44ad-8c2d-2c3a37ce22c3}">
        <chartProps xmlns="https://web.wps.cn/et/2018/main" chartId="{48e0e715-fae7-4204-8b3a-55fea8c856b2}"/>
      </c:ext>
    </c:extLst>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1100917431193"/>
          <c:y val="0.121569093018892"/>
          <c:w val="0.354128440366972"/>
          <c:h val="0.756865643633746"/>
        </c:manualLayout>
      </c:layout>
      <c:pieChart>
        <c:varyColors val="1"/>
        <c:ser>
          <c:idx val="0"/>
          <c:order val="0"/>
          <c:explosion val="0"/>
          <c:dPt>
            <c:idx val="0"/>
            <c:bubble3D val="0"/>
            <c:explosion val="0"/>
          </c:dPt>
          <c:dPt>
            <c:idx val="1"/>
            <c:bubble3D val="0"/>
            <c:explosion val="0"/>
          </c:dPt>
          <c:dPt>
            <c:idx val="2"/>
            <c:bubble3D val="0"/>
            <c:explosion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一般公共预算财政拨款收入15.4%</a:t>
                    </a:r>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385321100917431"/>
                  <c:y val="0.054901960784313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政府性基金预算财政拨款收入</a:t>
                    </a:r>
                  </a:p>
                  <a:p>
                    <a:pPr defTabSz="914400">
                      <a:defRPr lang="zh-CN" sz="1000" b="0" i="0" u="none" strike="noStrike" kern="1200" baseline="0">
                        <a:solidFill>
                          <a:schemeClr val="tx1"/>
                        </a:solidFill>
                        <a:latin typeface="+mn-lt"/>
                        <a:ea typeface="+mn-ea"/>
                        <a:cs typeface="+mn-cs"/>
                      </a:defRPr>
                    </a:pPr>
                    <a:r>
                      <a:rPr lang="en-US" altLang="zh-CN"/>
                      <a:t>5</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事业收入</a:t>
                    </a:r>
                  </a:p>
                  <a:p>
                    <a:pPr defTabSz="914400">
                      <a:defRPr lang="zh-CN" sz="1000" b="0" i="0" u="none" strike="noStrike" kern="1200" baseline="0">
                        <a:solidFill>
                          <a:schemeClr val="tx1"/>
                        </a:solidFill>
                        <a:latin typeface="+mn-lt"/>
                        <a:ea typeface="+mn-ea"/>
                        <a:cs typeface="+mn-cs"/>
                      </a:defRPr>
                    </a:pPr>
                    <a:r>
                      <a:rPr lang="en-US" altLang="zh-CN"/>
                      <a:t>78.6</a:t>
                    </a:r>
                    <a:r>
                      <a:t>%</a:t>
                    </a:r>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manualLayout>
                  <c:x val="-0.0752293577981651"/>
                  <c:y val="0.023529411764705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其他收入</a:t>
                    </a:r>
                  </a:p>
                  <a:p>
                    <a:pPr defTabSz="914400">
                      <a:defRPr lang="zh-CN" sz="1000" b="0" i="0" u="none" strike="noStrike" kern="1200" baseline="0">
                        <a:solidFill>
                          <a:schemeClr val="tx1"/>
                        </a:solidFill>
                        <a:latin typeface="+mn-lt"/>
                        <a:ea typeface="+mn-ea"/>
                        <a:cs typeface="+mn-cs"/>
                      </a:defRPr>
                    </a:pPr>
                    <a:r>
                      <a:rPr lang="en-US" altLang="zh-CN"/>
                      <a:t>1</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'[图表生成（参考使用）.xls]表2 图表生成'!$B$14:$E$14</c:f>
              <c:strCache>
                <c:ptCount val="4"/>
                <c:pt idx="0" c:formatCode="@">
                  <c:v>一般公共预算财政拨款收入</c:v>
                </c:pt>
                <c:pt idx="1" c:formatCode="@">
                  <c:v>政府性基金预算财政拨款收入</c:v>
                </c:pt>
                <c:pt idx="2" c:formatCode="@">
                  <c:v>事业收入</c:v>
                </c:pt>
                <c:pt idx="3" c:formatCode="@">
                  <c:v>其他收入</c:v>
                </c:pt>
              </c:strCache>
            </c:strRef>
          </c:cat>
          <c:val>
            <c:numRef>
              <c:f>'[图表生成（参考使用）.xls]表2 图表生成'!$B$15:$E$15</c:f>
              <c:numCache>
                <c:formatCode>#,##0.00_ </c:formatCode>
                <c:ptCount val="4"/>
                <c:pt idx="0">
                  <c:v>2025.01</c:v>
                </c:pt>
                <c:pt idx="1">
                  <c:v>650</c:v>
                </c:pt>
                <c:pt idx="2">
                  <c:v>10323.84</c:v>
                </c:pt>
                <c:pt idx="3">
                  <c:v>129.89</c:v>
                </c:pt>
              </c:numCache>
            </c:numRef>
          </c:val>
        </c:ser>
        <c:dLbls>
          <c:showLegendKey val="0"/>
          <c:showVal val="0"/>
          <c:showCatName val="0"/>
          <c:showSerName val="0"/>
          <c:showPercent val="0"/>
          <c:showBubbleSize val="0"/>
          <c:showLeaderLines val="1"/>
        </c:dLbls>
        <c:firstSliceAng val="0"/>
      </c:pieChart>
      <c:spPr>
        <a:noFill/>
        <a:ln w="3175">
          <a:noFill/>
        </a:ln>
      </c:spPr>
    </c:plotArea>
    <c:plotVisOnly val="1"/>
    <c:dispBlanksAs val="gap"/>
    <c:showDLblsOverMax val="0"/>
    <c:extLst>
      <c:ext uri="{0b15fc19-7d7d-44ad-8c2d-2c3a37ce22c3}">
        <chartProps xmlns="https://web.wps.cn/et/2018/main" chartId="{5545044d-e679-4d72-b367-0b620ca67a6c}"/>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27967806841"/>
          <c:y val="0.122881355932203"/>
          <c:w val="0.573440643863179"/>
          <c:h val="0.754237288135593"/>
        </c:manualLayout>
      </c:layout>
      <c:pieChart>
        <c:varyColors val="1"/>
        <c:ser>
          <c:idx val="0"/>
          <c:order val="0"/>
          <c:explosion val="0"/>
          <c:dPt>
            <c:idx val="0"/>
            <c:bubble3D val="0"/>
            <c:explosion val="0"/>
          </c:dPt>
          <c:dPt>
            <c:idx val="1"/>
            <c:bubble3D val="0"/>
            <c:explosion val="0"/>
          </c:dPt>
          <c:dLbls>
            <c:dLbl>
              <c:idx val="0"/>
              <c:layout>
                <c:manualLayout>
                  <c:x val="0.0881043240985631"/>
                  <c:y val="0.034003967129498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6.3%</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62956008583691"/>
                  <c:y val="-0.05525644658543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项目支出93</a:t>
                    </a:r>
                    <a:r>
                      <a:rPr lang="en-US" altLang="zh-CN"/>
                      <a:t>.7</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'[图表生成（参考使用）.xls]表2 图表生成'!$B$22:$B$23</c:f>
              <c:strCache>
                <c:ptCount val="2"/>
                <c:pt idx="0">
                  <c:v>基本支出</c:v>
                </c:pt>
                <c:pt idx="1">
                  <c:v>项目支出</c:v>
                </c:pt>
              </c:strCache>
            </c:strRef>
          </c:cat>
          <c:val>
            <c:numRef>
              <c:f>'[图表生成（参考使用）.xls]表2 图表生成'!$C$22:$C$23</c:f>
              <c:numCache>
                <c:formatCode>#,##0.00</c:formatCode>
                <c:ptCount val="2"/>
                <c:pt idx="0">
                  <c:v>889.3</c:v>
                </c:pt>
                <c:pt idx="1">
                  <c:v>13182.19</c:v>
                </c:pt>
              </c:numCache>
            </c:numRef>
          </c:val>
        </c:ser>
        <c:dLbls>
          <c:showLegendKey val="0"/>
          <c:showVal val="0"/>
          <c:showCatName val="0"/>
          <c:showSerName val="0"/>
          <c:showPercent val="0"/>
          <c:showBubbleSize val="0"/>
          <c:showLeaderLines val="1"/>
        </c:dLbls>
        <c:firstSliceAng val="0"/>
      </c:pieChart>
      <c:spPr>
        <a:noFill/>
        <a:ln w="3175">
          <a:noFill/>
        </a:ln>
      </c:spPr>
    </c:plotArea>
    <c:plotVisOnly val="1"/>
    <c:dispBlanksAs val="gap"/>
    <c:showDLblsOverMax val="0"/>
    <c:extLst>
      <c:ext uri="{0b15fc19-7d7d-44ad-8c2d-2c3a37ce22c3}">
        <chartProps xmlns="https://web.wps.cn/et/2018/main" chartId="{a972562b-db24-4507-bf4f-57be5e463a9e}"/>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36165577342"/>
          <c:y val="0.0582959641255605"/>
          <c:w val="0.843137254901961"/>
          <c:h val="0.807174887892377"/>
        </c:manualLayout>
      </c:layout>
      <c:barChart>
        <c:barDir val="col"/>
        <c:grouping val="stacked"/>
        <c:varyColors val="0"/>
        <c:ser>
          <c:idx val="0"/>
          <c:order val="0"/>
          <c:spPr>
            <a:solidFill>
              <a:srgbClr val="FFC000"/>
            </a:solidFill>
          </c:spPr>
          <c:invertIfNegative val="0"/>
          <c:dLbls>
            <c:numFmt formatCode="#,##0.00;[Red]\-#,##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'[图表生成（参考使用）.xls]表2 图表生成'!$B$30:$C$30</c:f>
              <c:strCache>
                <c:ptCount val="2"/>
                <c:pt idx="0">
                  <c:v>2024年</c:v>
                </c:pt>
                <c:pt idx="1">
                  <c:v>2023年</c:v>
                </c:pt>
              </c:strCache>
            </c:strRef>
          </c:cat>
          <c:val>
            <c:numRef>
              <c:f>'[图表生成（参考使用）.xls]表2 图表生成'!$B$31:$C$31</c:f>
              <c:numCache>
                <c:formatCode>#,##0.00</c:formatCode>
                <c:ptCount val="2"/>
                <c:pt idx="0">
                  <c:v>2675.01</c:v>
                </c:pt>
                <c:pt idx="1">
                  <c:v>2393.13</c:v>
                </c:pt>
              </c:numCache>
            </c:numRef>
          </c:val>
        </c:ser>
        <c:dLbls>
          <c:showLegendKey val="0"/>
          <c:showVal val="0"/>
          <c:showCatName val="0"/>
          <c:showSerName val="0"/>
          <c:showPercent val="0"/>
          <c:showBubbleSize val="0"/>
        </c:dLbls>
        <c:gapWidth val="150"/>
        <c:overlap val="100"/>
        <c:axId val="39657899"/>
        <c:axId val="420915782"/>
      </c:barChart>
      <c:catAx>
        <c:axId val="39657899"/>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20915782"/>
        <c:crosses val="autoZero"/>
        <c:auto val="1"/>
        <c:lblAlgn val="ctr"/>
        <c:lblOffset val="100"/>
        <c:noMultiLvlLbl val="0"/>
      </c:catAx>
      <c:valAx>
        <c:axId val="420915782"/>
        <c:scaling>
          <c:orientation val="minMax"/>
        </c:scaling>
        <c:delete val="0"/>
        <c:axPos val="l"/>
        <c:majorGridlines>
          <c:spPr>
            <a:ln w="9525" cap="flat" cmpd="sng" algn="ct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olid"/>
              <a:round/>
            </a:ln>
          </c:spPr>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9657899"/>
        <c:crosses val="autoZero"/>
        <c:crossBetween val="between"/>
      </c:valAx>
    </c:plotArea>
    <c:plotVisOnly val="1"/>
    <c:dispBlanksAs val="gap"/>
    <c:showDLblsOverMax val="0"/>
    <c:extLst>
      <c:ext uri="{0b15fc19-7d7d-44ad-8c2d-2c3a37ce22c3}">
        <chartProps xmlns="https://web.wps.cn/et/2018/main" chartId="{557ed192-eec6-4384-a6bd-676c41ceffc6}"/>
      </c:ext>
    </c:extLst>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742271150656"/>
          <c:y val="0.0643479342956698"/>
          <c:w val="0.834841628959276"/>
          <c:h val="0.790243902439024"/>
        </c:manualLayout>
      </c:layout>
      <c:barChart>
        <c:barDir val="col"/>
        <c:grouping val="stacked"/>
        <c:varyColors val="0"/>
        <c:ser>
          <c:idx val="0"/>
          <c:order val="0"/>
          <c:spPr>
            <a:solidFill>
              <a:srgbClr val="FFC000"/>
            </a:solidFill>
          </c:spPr>
          <c:invertIfNegative val="0"/>
          <c:dPt>
            <c:idx val="0"/>
            <c:invertIfNegative val="0"/>
            <c:bubble3D val="0"/>
          </c:dPt>
          <c:dPt>
            <c:idx val="1"/>
            <c:invertIfNegative val="0"/>
            <c:bubble3D val="0"/>
          </c:dPt>
          <c:dLbls>
            <c:numFmt formatCode="#,##0.00;[Red]\-#,##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'[图表生成（参考使用）.xls]表2 图表生成'!$B$37:$C$37</c:f>
              <c:strCache>
                <c:ptCount val="2"/>
                <c:pt idx="0">
                  <c:v>2024年</c:v>
                </c:pt>
                <c:pt idx="1">
                  <c:v>2023年</c:v>
                </c:pt>
              </c:strCache>
            </c:strRef>
          </c:cat>
          <c:val>
            <c:numRef>
              <c:f>'[图表生成（参考使用）.xls]表2 图表生成'!$B$38:$C$38</c:f>
              <c:numCache>
                <c:formatCode>#,##0.00</c:formatCode>
                <c:ptCount val="2"/>
                <c:pt idx="0">
                  <c:v>2025.01</c:v>
                </c:pt>
                <c:pt idx="1">
                  <c:v>2393.13</c:v>
                </c:pt>
              </c:numCache>
            </c:numRef>
          </c:val>
        </c:ser>
        <c:dLbls>
          <c:showLegendKey val="0"/>
          <c:showVal val="0"/>
          <c:showCatName val="0"/>
          <c:showSerName val="0"/>
          <c:showPercent val="0"/>
          <c:showBubbleSize val="0"/>
        </c:dLbls>
        <c:gapWidth val="150"/>
        <c:overlap val="100"/>
        <c:axId val="684137827"/>
        <c:axId val="468526262"/>
      </c:barChart>
      <c:catAx>
        <c:axId val="684137827"/>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68526262"/>
        <c:crosses val="autoZero"/>
        <c:auto val="1"/>
        <c:lblAlgn val="ctr"/>
        <c:lblOffset val="100"/>
        <c:noMultiLvlLbl val="0"/>
      </c:catAx>
      <c:valAx>
        <c:axId val="468526262"/>
        <c:scaling>
          <c:orientation val="minMax"/>
        </c:scaling>
        <c:delete val="0"/>
        <c:axPos val="l"/>
        <c:majorGridlines>
          <c:spPr>
            <a:ln w="9525" cap="flat" cmpd="sng" algn="ct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olid"/>
              <a:round/>
            </a:ln>
          </c:spPr>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4137827"/>
        <c:crosses val="autoZero"/>
        <c:crossBetween val="between"/>
      </c:valAx>
    </c:plotArea>
    <c:plotVisOnly val="1"/>
    <c:dispBlanksAs val="gap"/>
    <c:showDLblsOverMax val="0"/>
    <c:extLst>
      <c:ext uri="{0b15fc19-7d7d-44ad-8c2d-2c3a37ce22c3}">
        <chartProps xmlns="https://web.wps.cn/et/2018/main" chartId="{2825987e-4f60-4115-90ef-5fdd436a8c5d}"/>
      </c:ext>
    </c:extLst>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1510769739231"/>
          <c:y val="0.127329385629042"/>
          <c:w val="0.456979394138566"/>
          <c:h val="0.742237150374173"/>
        </c:manualLayout>
      </c:layout>
      <c:pieChart>
        <c:varyColors val="1"/>
        <c:ser>
          <c:idx val="0"/>
          <c:order val="0"/>
          <c:explosion val="0"/>
          <c:dPt>
            <c:idx val="0"/>
            <c:bubble3D val="0"/>
            <c:explosion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卫生健康支出99</a:t>
                    </a:r>
                    <a:r>
                      <a:rPr lang="en-US" altLang="zh-CN"/>
                      <a:t>.7</a:t>
                    </a:r>
                    <a:r>
                      <a:t>%</a:t>
                    </a:r>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其他支出0.3%</a:t>
                    </a:r>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'[图表生成（参考使用）.xls]表2 图表生成'!$B$43:$B$44</c:f>
              <c:strCache>
                <c:ptCount val="2"/>
                <c:pt idx="0">
                  <c:v>卫生健康支出</c:v>
                </c:pt>
                <c:pt idx="1">
                  <c:v>其他支出</c:v>
                </c:pt>
              </c:strCache>
            </c:strRef>
          </c:cat>
          <c:val>
            <c:numRef>
              <c:f>'[图表生成（参考使用）.xls]表2 图表生成'!$C$43:$C$44</c:f>
              <c:numCache>
                <c:formatCode>#,##0.00</c:formatCode>
                <c:ptCount val="2"/>
                <c:pt idx="0">
                  <c:v>2018.51</c:v>
                </c:pt>
                <c:pt idx="1">
                  <c:v>6.5</c:v>
                </c:pt>
              </c:numCache>
            </c:numRef>
          </c:val>
        </c:ser>
        <c:dLbls>
          <c:showLegendKey val="0"/>
          <c:showVal val="0"/>
          <c:showCatName val="0"/>
          <c:showSerName val="0"/>
          <c:showPercent val="0"/>
          <c:showBubbleSize val="0"/>
          <c:showLeaderLines val="1"/>
        </c:dLbls>
        <c:firstSliceAng val="0"/>
      </c:pieChart>
      <c:spPr>
        <a:noFill/>
        <a:ln w="3175">
          <a:noFill/>
        </a:ln>
      </c:spPr>
    </c:plotArea>
    <c:plotVisOnly val="1"/>
    <c:dispBlanksAs val="gap"/>
    <c:showDLblsOverMax val="0"/>
    <c:extLst>
      <c:ext uri="{0b15fc19-7d7d-44ad-8c2d-2c3a37ce22c3}">
        <chartProps xmlns="https://web.wps.cn/et/2018/main" chartId="{c083faa0-5693-42d9-a063-650f625cb3e0}"/>
      </c:ext>
    </c:extLst>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工作表.xlsx]Sheet1'!$J$17:$J$19</c:f>
              <c:strCache>
                <c:ptCount val="3"/>
                <c:pt idx="0">
                  <c:v>因公出国（境）费</c:v>
                </c:pt>
                <c:pt idx="1">
                  <c:v>公务用车购置及运行维护费</c:v>
                </c:pt>
                <c:pt idx="2">
                  <c:v>公务接待费</c:v>
                </c:pt>
              </c:strCache>
            </c:strRef>
          </c:cat>
          <c:val>
            <c:numRef>
              <c:f>'[新建 XLSX 工作表.xlsx]Sheet1'!$K$17:$K$19</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3db83fb-ef07-457f-8b71-0430092563a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38</Pages>
  <Words>2239</Words>
  <Characters>2387</Characters>
  <Lines>66</Lines>
  <Paragraphs>18</Paragraphs>
  <TotalTime>0</TotalTime>
  <ScaleCrop>false</ScaleCrop>
  <LinksUpToDate>false</LinksUpToDate>
  <CharactersWithSpaces>2421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2021-08-18T02:21:00Z</dcterms:created>
  <dc:creator>微软用户</dc:creator>
  <cp:lastModifiedBy>WPS_1635497544</cp:lastModifiedBy>
  <cp:lastPrinted>2019-09-17T01:45:00Z</cp:lastPrinted>
  <dcterms:modified xsi:type="dcterms:W3CDTF">2025-11-19T03:19:17Z</dcterms:modified>
  <dc:title>成财库〔2014〕14号</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C875A696F09B4266973720DE2611FCC8_12</vt:lpwstr>
  </property>
  <property fmtid="{D5CDD505-2E9C-101B-9397-08002B2CF9AE}" pid="4" name="KSOTemplateDocerSaveRecord">
    <vt:lpwstr>eyJoZGlkIjoiYmQxNTAwNTM5ODBlMTc5OThkZDYwMDBiMzI2NWQxNmQiLCJ1c2VySWQiOiIxMjg5Mjc3Njg3In0=</vt:lpwstr>
  </property>
</Properties>
</file>