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A5738">
      <w:pPr>
        <w:spacing w:line="560" w:lineRule="exact"/>
        <w:rPr>
          <w:rFonts w:ascii="Times New Roman" w:hAnsi="Times New Roman" w:eastAsia="方正黑体_GBK"/>
          <w:kern w:val="0"/>
        </w:rPr>
      </w:pPr>
      <w:r>
        <w:rPr>
          <w:rFonts w:ascii="Times New Roman" w:hAnsi="Times New Roman" w:eastAsia="方正黑体_GBK"/>
          <w:kern w:val="0"/>
        </w:rPr>
        <w:t>附件1</w:t>
      </w:r>
    </w:p>
    <w:p w14:paraId="35BE4811">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目　　录</w:t>
      </w:r>
    </w:p>
    <w:p w14:paraId="65E1D410">
      <w:pPr>
        <w:snapToGrid w:val="0"/>
        <w:spacing w:line="600" w:lineRule="exact"/>
        <w:jc w:val="center"/>
        <w:rPr>
          <w:rFonts w:ascii="Times New Roman" w:hAnsi="Times New Roman" w:eastAsia="方正小标宋简体"/>
          <w:sz w:val="44"/>
          <w:szCs w:val="44"/>
        </w:rPr>
      </w:pPr>
    </w:p>
    <w:p w14:paraId="41839A61">
      <w:pPr>
        <w:rPr>
          <w:rFonts w:ascii="方正黑体_GBK" w:hAnsi="Times New Roman" w:eastAsia="方正黑体_GBK"/>
        </w:rPr>
      </w:pPr>
      <w:r>
        <w:rPr>
          <w:rFonts w:hint="eastAsia" w:ascii="方正黑体_GBK" w:hAnsi="Times New Roman" w:eastAsia="方正黑体_GBK"/>
        </w:rPr>
        <w:t>第一部分 青羊区成都儿童专科医院部门</w:t>
      </w:r>
      <w:r>
        <w:rPr>
          <w:rFonts w:hint="eastAsia" w:ascii="Times New Roman" w:hAnsi="Times New Roman" w:eastAsia="方正黑体_GBK"/>
        </w:rPr>
        <w:t>2025</w:t>
      </w:r>
      <w:r>
        <w:rPr>
          <w:rFonts w:ascii="方正黑体_GBK" w:hAnsi="Times New Roman" w:eastAsia="方正黑体_GBK"/>
        </w:rPr>
        <w:t>年部门预算说明</w:t>
      </w:r>
    </w:p>
    <w:p w14:paraId="7D4A015B">
      <w:pPr>
        <w:tabs>
          <w:tab w:val="left" w:pos="6210"/>
        </w:tabs>
        <w:rPr>
          <w:rFonts w:ascii="方正黑体_GBK" w:hAnsi="Times New Roman" w:eastAsia="方正黑体_GBK"/>
        </w:rPr>
      </w:pPr>
      <w:r>
        <w:rPr>
          <w:rFonts w:hint="eastAsia" w:ascii="方正黑体_GBK" w:hAnsi="Times New Roman" w:eastAsia="方正黑体_GBK"/>
        </w:rPr>
        <w:t>第二部分 名词解释</w:t>
      </w:r>
      <w:r>
        <w:rPr>
          <w:rFonts w:ascii="方正黑体_GBK" w:hAnsi="Times New Roman" w:eastAsia="方正黑体_GBK"/>
        </w:rPr>
        <w:tab/>
      </w:r>
    </w:p>
    <w:p w14:paraId="621D993D">
      <w:pPr>
        <w:rPr>
          <w:rFonts w:ascii="方正黑体_GBK" w:hAnsi="Times New Roman" w:eastAsia="方正黑体_GBK"/>
        </w:rPr>
      </w:pPr>
      <w:r>
        <w:rPr>
          <w:rFonts w:ascii="方正黑体_GBK" w:hAnsi="Times New Roman" w:eastAsia="方正黑体_GBK"/>
        </w:rPr>
        <w:t xml:space="preserve">第三部分 </w:t>
      </w:r>
      <w:r>
        <w:rPr>
          <w:rFonts w:hint="eastAsia" w:ascii="Times New Roman" w:hAnsi="Times New Roman" w:eastAsia="方正黑体_GBK"/>
        </w:rPr>
        <w:t>2025</w:t>
      </w:r>
      <w:r>
        <w:rPr>
          <w:rFonts w:hint="eastAsia" w:ascii="方正黑体_GBK" w:hAnsi="Times New Roman" w:eastAsia="方正黑体_GBK"/>
        </w:rPr>
        <w:t>年部门预算表</w:t>
      </w:r>
    </w:p>
    <w:p w14:paraId="27BED152">
      <w:pPr>
        <w:rPr>
          <w:rFonts w:ascii="Times New Roman" w:hAnsi="Times New Roman" w:eastAsia="方正仿宋_GBK"/>
        </w:rPr>
      </w:pPr>
      <w:r>
        <w:rPr>
          <w:rFonts w:hint="eastAsia" w:ascii="Times New Roman" w:hAnsi="Times New Roman" w:eastAsia="方正仿宋_GBK"/>
        </w:rPr>
        <w:t>一、</w:t>
      </w:r>
      <w:r>
        <w:rPr>
          <w:rFonts w:ascii="Times New Roman" w:hAnsi="Times New Roman" w:eastAsia="方正仿宋_GBK"/>
        </w:rPr>
        <w:t>部门收支总表</w:t>
      </w:r>
      <w:bookmarkStart w:id="0" w:name="_GoBack"/>
      <w:bookmarkEnd w:id="0"/>
    </w:p>
    <w:p w14:paraId="502D7F46">
      <w:pPr>
        <w:rPr>
          <w:rFonts w:ascii="Times New Roman" w:hAnsi="Times New Roman" w:eastAsia="方正仿宋_GBK"/>
        </w:rPr>
      </w:pPr>
      <w:r>
        <w:rPr>
          <w:rFonts w:hint="eastAsia" w:ascii="Times New Roman" w:hAnsi="Times New Roman" w:eastAsia="方正仿宋_GBK"/>
        </w:rPr>
        <w:t>二、</w:t>
      </w:r>
      <w:r>
        <w:rPr>
          <w:rFonts w:ascii="Times New Roman" w:hAnsi="Times New Roman" w:eastAsia="方正仿宋_GBK"/>
        </w:rPr>
        <w:t>部门收入总表</w:t>
      </w:r>
    </w:p>
    <w:p w14:paraId="1E1E9F77">
      <w:pPr>
        <w:rPr>
          <w:rFonts w:ascii="Times New Roman" w:hAnsi="Times New Roman" w:eastAsia="方正仿宋_GBK"/>
        </w:rPr>
      </w:pPr>
      <w:r>
        <w:rPr>
          <w:rFonts w:hint="eastAsia" w:ascii="Times New Roman" w:hAnsi="Times New Roman" w:eastAsia="方正仿宋_GBK"/>
        </w:rPr>
        <w:t>三、</w:t>
      </w:r>
      <w:r>
        <w:rPr>
          <w:rFonts w:ascii="Times New Roman" w:hAnsi="Times New Roman" w:eastAsia="方正仿宋_GBK"/>
        </w:rPr>
        <w:t>部门支出总表</w:t>
      </w:r>
    </w:p>
    <w:p w14:paraId="137CDE59">
      <w:pPr>
        <w:rPr>
          <w:rFonts w:ascii="Times New Roman" w:hAnsi="Times New Roman" w:eastAsia="方正仿宋_GBK"/>
        </w:rPr>
      </w:pPr>
      <w:r>
        <w:rPr>
          <w:rFonts w:hint="eastAsia" w:ascii="Times New Roman" w:hAnsi="Times New Roman" w:eastAsia="方正仿宋_GBK"/>
        </w:rPr>
        <w:t>四、</w:t>
      </w:r>
      <w:r>
        <w:rPr>
          <w:rFonts w:ascii="Times New Roman" w:hAnsi="Times New Roman" w:eastAsia="方正仿宋_GBK"/>
        </w:rPr>
        <w:t>财政拨款收支预算总表</w:t>
      </w:r>
    </w:p>
    <w:p w14:paraId="3BCD1463">
      <w:pPr>
        <w:rPr>
          <w:rFonts w:ascii="Times New Roman" w:hAnsi="Times New Roman" w:eastAsia="方正仿宋_GBK"/>
        </w:rPr>
      </w:pPr>
      <w:r>
        <w:rPr>
          <w:rFonts w:hint="eastAsia" w:ascii="Times New Roman" w:hAnsi="Times New Roman" w:eastAsia="方正仿宋_GBK"/>
        </w:rPr>
        <w:t>五、财政拨款支出预算表（部门经济分类科目）</w:t>
      </w:r>
    </w:p>
    <w:p w14:paraId="48287563">
      <w:pPr>
        <w:rPr>
          <w:rFonts w:ascii="Times New Roman" w:hAnsi="Times New Roman" w:eastAsia="方正仿宋_GBK"/>
        </w:rPr>
      </w:pPr>
      <w:r>
        <w:rPr>
          <w:rFonts w:hint="eastAsia" w:ascii="Times New Roman" w:hAnsi="Times New Roman" w:eastAsia="方正仿宋_GBK"/>
        </w:rPr>
        <w:t>六、</w:t>
      </w:r>
      <w:r>
        <w:rPr>
          <w:rFonts w:ascii="Times New Roman" w:hAnsi="Times New Roman" w:eastAsia="方正仿宋_GBK"/>
        </w:rPr>
        <w:t>一般公共预算支出</w:t>
      </w:r>
      <w:r>
        <w:rPr>
          <w:rFonts w:hint="eastAsia" w:ascii="Times New Roman" w:hAnsi="Times New Roman" w:eastAsia="方正仿宋_GBK"/>
        </w:rPr>
        <w:t>预算</w:t>
      </w:r>
      <w:r>
        <w:rPr>
          <w:rFonts w:ascii="Times New Roman" w:hAnsi="Times New Roman" w:eastAsia="方正仿宋_GBK"/>
        </w:rPr>
        <w:t>表</w:t>
      </w:r>
    </w:p>
    <w:p w14:paraId="1ABD8AB4">
      <w:pPr>
        <w:rPr>
          <w:rFonts w:ascii="Times New Roman" w:hAnsi="Times New Roman" w:eastAsia="方正仿宋_GBK"/>
        </w:rPr>
      </w:pPr>
      <w:r>
        <w:rPr>
          <w:rFonts w:hint="eastAsia" w:ascii="Times New Roman" w:hAnsi="Times New Roman" w:eastAsia="方正仿宋_GBK"/>
        </w:rPr>
        <w:t>七、</w:t>
      </w:r>
      <w:r>
        <w:rPr>
          <w:rFonts w:ascii="Times New Roman" w:hAnsi="Times New Roman" w:eastAsia="方正仿宋_GBK"/>
        </w:rPr>
        <w:t>一般公共预算基本支出预算表</w:t>
      </w:r>
    </w:p>
    <w:p w14:paraId="6E2C9A8B">
      <w:pPr>
        <w:rPr>
          <w:rFonts w:ascii="Times New Roman" w:hAnsi="Times New Roman" w:eastAsia="方正仿宋_GBK"/>
        </w:rPr>
      </w:pPr>
      <w:r>
        <w:rPr>
          <w:rFonts w:hint="eastAsia" w:ascii="Times New Roman" w:hAnsi="Times New Roman" w:eastAsia="方正仿宋_GBK"/>
        </w:rPr>
        <w:t>八、</w:t>
      </w:r>
      <w:r>
        <w:rPr>
          <w:rFonts w:ascii="Times New Roman" w:hAnsi="Times New Roman" w:eastAsia="方正仿宋_GBK"/>
        </w:rPr>
        <w:t>一般公共预算项目支出预算表</w:t>
      </w:r>
    </w:p>
    <w:p w14:paraId="2A3B3737">
      <w:pPr>
        <w:rPr>
          <w:rFonts w:ascii="Times New Roman" w:hAnsi="Times New Roman" w:eastAsia="方正仿宋_GBK"/>
        </w:rPr>
      </w:pPr>
      <w:r>
        <w:rPr>
          <w:rFonts w:hint="eastAsia" w:ascii="Times New Roman" w:hAnsi="Times New Roman" w:eastAsia="方正仿宋_GBK"/>
        </w:rPr>
        <w:t>九、</w:t>
      </w:r>
      <w:r>
        <w:rPr>
          <w:rFonts w:ascii="Times New Roman" w:hAnsi="Times New Roman" w:eastAsia="方正仿宋_GBK"/>
        </w:rPr>
        <w:t>一般公共预算“三公”经费支出预算表</w:t>
      </w:r>
    </w:p>
    <w:p w14:paraId="25F537DA">
      <w:pPr>
        <w:rPr>
          <w:rFonts w:ascii="Times New Roman" w:hAnsi="Times New Roman" w:eastAsia="方正仿宋_GBK"/>
        </w:rPr>
      </w:pPr>
      <w:r>
        <w:rPr>
          <w:rFonts w:hint="eastAsia" w:ascii="Times New Roman" w:hAnsi="Times New Roman" w:eastAsia="方正仿宋_GBK"/>
        </w:rPr>
        <w:t>十、</w:t>
      </w:r>
      <w:r>
        <w:rPr>
          <w:rFonts w:ascii="Times New Roman" w:hAnsi="Times New Roman" w:eastAsia="方正仿宋_GBK"/>
        </w:rPr>
        <w:t>政府性基金支出预算表</w:t>
      </w:r>
    </w:p>
    <w:p w14:paraId="06BF0F68">
      <w:pPr>
        <w:rPr>
          <w:rFonts w:ascii="Times New Roman" w:hAnsi="Times New Roman" w:eastAsia="方正仿宋_GBK"/>
        </w:rPr>
      </w:pPr>
      <w:r>
        <w:rPr>
          <w:rFonts w:hint="eastAsia" w:ascii="Times New Roman" w:hAnsi="Times New Roman" w:eastAsia="方正仿宋_GBK"/>
        </w:rPr>
        <w:t>十一、</w:t>
      </w:r>
      <w:r>
        <w:rPr>
          <w:rFonts w:ascii="Times New Roman" w:hAnsi="Times New Roman" w:eastAsia="方正仿宋_GBK"/>
        </w:rPr>
        <w:t>政府性基金</w:t>
      </w:r>
      <w:r>
        <w:rPr>
          <w:rFonts w:hint="eastAsia" w:ascii="Times New Roman" w:hAnsi="Times New Roman" w:eastAsia="方正仿宋_GBK"/>
        </w:rPr>
        <w:t>“</w:t>
      </w:r>
      <w:r>
        <w:rPr>
          <w:rFonts w:ascii="Times New Roman" w:hAnsi="Times New Roman" w:eastAsia="方正仿宋_GBK"/>
        </w:rPr>
        <w:t>三公</w:t>
      </w:r>
      <w:r>
        <w:rPr>
          <w:rFonts w:hint="eastAsia" w:ascii="Times New Roman" w:hAnsi="Times New Roman" w:eastAsia="方正仿宋_GBK"/>
        </w:rPr>
        <w:t>”</w:t>
      </w:r>
      <w:r>
        <w:rPr>
          <w:rFonts w:ascii="Times New Roman" w:hAnsi="Times New Roman" w:eastAsia="方正仿宋_GBK"/>
        </w:rPr>
        <w:t>经费支出预算表</w:t>
      </w:r>
    </w:p>
    <w:p w14:paraId="100DFA12">
      <w:pPr>
        <w:rPr>
          <w:rFonts w:ascii="Times New Roman" w:hAnsi="Times New Roman" w:eastAsia="方正仿宋_GBK"/>
        </w:rPr>
      </w:pPr>
      <w:r>
        <w:rPr>
          <w:rFonts w:hint="eastAsia" w:ascii="Times New Roman" w:hAnsi="Times New Roman" w:eastAsia="方正仿宋_GBK"/>
        </w:rPr>
        <w:t>十二、</w:t>
      </w:r>
      <w:r>
        <w:rPr>
          <w:rFonts w:ascii="Times New Roman" w:hAnsi="Times New Roman" w:eastAsia="方正仿宋_GBK"/>
        </w:rPr>
        <w:t>国有资本经营预算支出预算表</w:t>
      </w:r>
    </w:p>
    <w:p w14:paraId="0F0E217A">
      <w:pPr>
        <w:rPr>
          <w:rFonts w:ascii="Times New Roman" w:hAnsi="Times New Roman" w:eastAsia="方正仿宋_GBK"/>
        </w:rPr>
      </w:pPr>
      <w:r>
        <w:rPr>
          <w:rFonts w:hint="eastAsia" w:ascii="Times New Roman" w:hAnsi="Times New Roman" w:eastAsia="方正仿宋_GBK"/>
        </w:rPr>
        <w:t>十三、</w:t>
      </w:r>
      <w:r>
        <w:rPr>
          <w:rFonts w:ascii="Times New Roman" w:hAnsi="Times New Roman" w:eastAsia="方正仿宋_GBK"/>
        </w:rPr>
        <w:t>部门预算项目绩效目标申报表</w:t>
      </w:r>
    </w:p>
    <w:p w14:paraId="22E1EE88">
      <w:pPr>
        <w:rPr>
          <w:rFonts w:hint="eastAsia" w:ascii="Times New Roman" w:hAnsi="Times New Roman" w:eastAsia="方正仿宋_GBK"/>
        </w:rPr>
      </w:pPr>
      <w:r>
        <w:rPr>
          <w:rFonts w:hint="eastAsia" w:ascii="Times New Roman" w:hAnsi="Times New Roman" w:eastAsia="方正仿宋_GBK"/>
        </w:rPr>
        <w:t>十四、</w:t>
      </w:r>
      <w:r>
        <w:t>部门项目支出绩效目标表</w:t>
      </w:r>
    </w:p>
    <w:p w14:paraId="5C159D58">
      <w:pPr>
        <w:rPr>
          <w:rFonts w:ascii="Times New Roman" w:hAnsi="Times New Roman" w:eastAsia="方正仿宋_GBK"/>
        </w:rPr>
      </w:pPr>
      <w:r>
        <w:rPr>
          <w:rFonts w:hint="eastAsia" w:ascii="Times New Roman" w:hAnsi="Times New Roman" w:eastAsia="方正仿宋_GBK"/>
        </w:rPr>
        <w:t>十五、</w:t>
      </w:r>
      <w:r>
        <w:rPr>
          <w:rFonts w:ascii="Times New Roman" w:hAnsi="Times New Roman" w:eastAsia="方正仿宋_GBK"/>
        </w:rPr>
        <w:t>部门整体支出绩效目标表</w:t>
      </w:r>
    </w:p>
    <w:p w14:paraId="4F31154B">
      <w:pPr>
        <w:rPr>
          <w:rFonts w:ascii="Times New Roman" w:hAnsi="Times New Roman" w:eastAsia="方正仿宋_GBK"/>
        </w:rPr>
      </w:pPr>
    </w:p>
    <w:p w14:paraId="1AB01C47">
      <w:pPr>
        <w:spacing w:line="560" w:lineRule="exact"/>
        <w:rPr>
          <w:rFonts w:ascii="Times New Roman" w:hAnsi="Times New Roman" w:eastAsia="方正黑体_GBK"/>
          <w:kern w:val="0"/>
        </w:rPr>
      </w:pPr>
      <w:r>
        <w:rPr>
          <w:rFonts w:hint="eastAsia" w:ascii="Times New Roman" w:hAnsi="Times New Roman" w:eastAsia="方正黑体_GBK"/>
          <w:kern w:val="0"/>
        </w:rPr>
        <w:t>附件</w:t>
      </w:r>
      <w:r>
        <w:rPr>
          <w:rFonts w:ascii="Times New Roman" w:hAnsi="Times New Roman" w:eastAsia="方正黑体_GBK"/>
          <w:kern w:val="0"/>
        </w:rPr>
        <w:t>2</w:t>
      </w:r>
    </w:p>
    <w:p w14:paraId="11FE2D4E">
      <w:pPr>
        <w:snapToGrid w:val="0"/>
        <w:spacing w:line="600" w:lineRule="exact"/>
        <w:jc w:val="center"/>
        <w:rPr>
          <w:rFonts w:ascii="Times New Roman" w:hAnsi="Times New Roman" w:eastAsia="方正小标宋简体"/>
          <w:sz w:val="44"/>
          <w:szCs w:val="44"/>
        </w:rPr>
      </w:pPr>
      <w:r>
        <w:rPr>
          <w:rFonts w:hint="eastAsia" w:ascii="Times New Roman" w:eastAsia="方正小标宋简体"/>
          <w:sz w:val="44"/>
          <w:szCs w:val="44"/>
        </w:rPr>
        <w:t>青羊区</w:t>
      </w:r>
      <w:r>
        <w:rPr>
          <w:rFonts w:hint="eastAsia" w:ascii="Times New Roman" w:hAnsi="Times New Roman" w:eastAsia="方正小标宋简体"/>
          <w:sz w:val="44"/>
          <w:szCs w:val="44"/>
        </w:rPr>
        <w:t>成都儿童专科医院</w:t>
      </w:r>
    </w:p>
    <w:p w14:paraId="5EE7138B">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2025</w:t>
      </w:r>
      <w:r>
        <w:rPr>
          <w:rFonts w:ascii="Times New Roman" w:eastAsia="方正小标宋简体"/>
          <w:sz w:val="44"/>
          <w:szCs w:val="44"/>
        </w:rPr>
        <w:t>年部门预算说明</w:t>
      </w:r>
    </w:p>
    <w:p w14:paraId="784EE654">
      <w:pPr>
        <w:spacing w:line="554" w:lineRule="exact"/>
        <w:ind w:firstLine="640" w:firstLineChars="200"/>
        <w:rPr>
          <w:rFonts w:ascii="Times New Roman" w:hAnsi="Times New Roman" w:eastAsia="方正黑体"/>
        </w:rPr>
      </w:pPr>
    </w:p>
    <w:p w14:paraId="5E173BBF">
      <w:pPr>
        <w:spacing w:line="560" w:lineRule="exact"/>
        <w:ind w:firstLine="640" w:firstLineChars="200"/>
        <w:rPr>
          <w:rFonts w:ascii="Times New Roman" w:hAnsi="Times New Roman" w:eastAsia="方正黑体_GBK"/>
        </w:rPr>
      </w:pPr>
      <w:r>
        <w:rPr>
          <w:rFonts w:hint="eastAsia" w:ascii="Times New Roman" w:hAnsi="Times New Roman" w:eastAsia="方正黑体_GBK"/>
        </w:rPr>
        <w:t>一、基本职能及主要工作</w:t>
      </w:r>
    </w:p>
    <w:p w14:paraId="6DD5B15D">
      <w:pPr>
        <w:spacing w:line="560" w:lineRule="exact"/>
        <w:ind w:firstLine="640" w:firstLineChars="200"/>
        <w:rPr>
          <w:rFonts w:ascii="Times New Roman" w:hAnsi="Times New Roman" w:eastAsia="楷体_GB2312"/>
        </w:rPr>
      </w:pPr>
      <w:r>
        <w:rPr>
          <w:rFonts w:hint="eastAsia" w:ascii="Times New Roman" w:hAnsi="Times New Roman" w:eastAsia="方正楷体_GBK"/>
        </w:rPr>
        <w:t>（一）基本职能</w:t>
      </w:r>
    </w:p>
    <w:p w14:paraId="6D8CC27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成都儿童专科医院创办于1937年，其前身是“序宾儿科诊所”，1991年更名为“成都儿童专科医院”。成都儿童专科医院是青羊区政府举办的非营利性公立医院。集医疗、科研、教学、预防保健为一体，是西南地区历史最悠久的一所二级甲等儿童专科医院。现有青羊、成华两个院区。</w:t>
      </w:r>
    </w:p>
    <w:p w14:paraId="7C04C10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医院现有在职职工350余人，编制床位210张，年门诊量30万人次以上。设有小儿呼吸内科、消化内科、神经内科、血液肾病、小儿外科、儿童预防保健、中医科、口腔科、眼耳鼻喉科、皮肤科等22个临床专科和亚专业。小儿消化内科是成都市重点专科，儿科已获成都市县级重点专科立项。多名专家担任国家、省市级医学会、各专委会委员及成都市儿科质控中心专家成员，是成都市青羊区儿科质量控制中心。近年相继成为国家儿童医学中心“互联网+”肾脏专科联盟和国家呼吸系统临床医学研究中心网络成员单位，四川大学华西第二医院区域联盟医院。先后与北京儿童医院、重庆医科大学附属儿童医院、四川大学华西第二医院、四川省人民医院、成都市第三人民医院构建了分级诊疗、双向转诊、远程会诊体系；签订医疗技术合作协议，致力于提升医院科研能力和技术水平。</w:t>
      </w:r>
    </w:p>
    <w:p w14:paraId="70767C4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医院在2015年被评为四川省数字化医院，医院信息化建设完善，微信、天府市民云均可以预约挂号，减少了挂号缴费的排队等待时间。为深化公立医院改革，逐步提升医院医疗服务能力，推进分级诊疗建设，我院与重庆医科大学附属儿童医院达成远程网络医疗合作框架协议，包括远程会诊、远程影像诊断、远程教育等项目，从而进一步提升医院服务能力。</w:t>
      </w:r>
    </w:p>
    <w:p w14:paraId="3E8B7C0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长期以来，医院重视医疗技术的发展建设，陆续开展了中药离子导入（中频）治疗、一氧化氮检测、机械排痰、肺功能检查、13-碳呼吸实验检测幽门螺杆菌感染、脑电地形图、小儿无痛电子胃镜检查、鼻腔负压置换、鼻耳内镜检查、小儿中医推拿、耳针等40余项专业技术。</w:t>
      </w:r>
    </w:p>
    <w:p w14:paraId="60DDF56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小儿外科开展的离断性肾盂输尿管吻合术和阴茎畸形矫正术极具专业特色，小儿腹腔镜手术让患儿手术出血少、伤口美观，达到近乎无痕的效果。儿保科开展了矮身材、性早熟的诊治以及生长发育评估、骨龄测定、丹佛智力筛查等检查项目；口腔科开展儿童和成人的各类龋病、牙髓及根尖病变、牙周及粘膜病的治疗，各类牙体牙列缺损、缺失的修复，还开展先进的隐形义齿、烤瓷冠桥、整铸支架义齿修复、儿童及成人各类牙列畸形的正畸治疗。</w:t>
      </w:r>
    </w:p>
    <w:p w14:paraId="7AF0A00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医院重视专科合作，积极与多家上级医院建立合作关系。先后与北京儿童医院、重庆医科大学附属儿童医院、四川大学华西第二医院、四川省人民医院、成都市第三人民医院、三六三医院等多家三级医院建立战略合作伙伴；签订医疗技术合作协议，致力于提升医院科研能力和技术水平。医院一直努力践行社会责任，承担多项疾病监测项目，是国家级流感监测哨点医院。</w:t>
      </w:r>
    </w:p>
    <w:p w14:paraId="77275C1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医院是成都市城乡医疗保险及各商业保险公司定点医院。严格执行国家医改政策，实行药品、医疗耗材零加成，切实减轻老百姓医疗负担。</w:t>
      </w:r>
    </w:p>
    <w:p w14:paraId="1FD1C79D">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拥有八十余年历史的成都儿童专科医院，积淀历久弥新的医院文化，充满朝气与活力。全体儿专人本着“立足青羊，服务全市”的服务理念，将继续秉承“医者德为先”的核心价值观和“德高、业精、公益、安全”的医院服务宗旨，以精湛的医术和高度的责任感承载生命的重托。</w:t>
      </w:r>
    </w:p>
    <w:p w14:paraId="1D62618B">
      <w:pPr>
        <w:spacing w:line="560" w:lineRule="exact"/>
        <w:ind w:firstLine="640" w:firstLineChars="200"/>
        <w:rPr>
          <w:rFonts w:ascii="Times New Roman" w:hAnsi="Times New Roman" w:eastAsia="方正楷体_GBK"/>
        </w:rPr>
      </w:pPr>
      <w:r>
        <w:rPr>
          <w:rFonts w:hint="eastAsia" w:ascii="Times New Roman" w:hAnsi="Times New Roman" w:eastAsia="方正楷体_GBK"/>
        </w:rPr>
        <w:t>（二）2025年重点工作</w:t>
      </w:r>
    </w:p>
    <w:p w14:paraId="5EE4D0C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1、全面提升医疗技术水平，满足患者多元化需求</w:t>
      </w:r>
    </w:p>
    <w:p w14:paraId="19FFF241">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在2025年，我院将致力于提升医疗技术水平，以满足患者的多元化需求。并对照《二级专科医院评审标准》，继续科学、系统改进医院管理，组织并通过二甲复审。持续推进门诊住院一体化建设，实施门诊医师固定排班制，改善患者就医体验。增加不同病种MDT及诊间会诊，促进学科交叉融合，完善多科协作机制。大力发展亚专科，进一步强化哮喘门诊建设，拟开设过敏性疾病、儿童性早熟、名医工作室等特色门诊。扩大“全院一张床”试点科室，逐步扩大专科住院病种范围，包括口腔科、五官科等。我院将持续引进先进的医疗设备和技术，加强医疗人员的培训和学习，深化重点专科建设内涵，拓展诊疗项目，培养拔尖人才，申报省市级科研项目。同时，我们将关注医疗技术的发展趋势，积极开展科研工作，推动医疗技术的创新和进步。我院将继续推进成都市重点专科建设项目，借助青羊区儿科质控中心平台打造区域专科联盟，延伸服务半径。大力发展儿童口腔疾病防治业务，扩大高危儿童保健业务，打造多学科融合的专病门诊，实现儿童专科疾病的领先优势。</w:t>
      </w:r>
    </w:p>
    <w:p w14:paraId="0125B25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2、加强医疗质量控制，保障患者安全和权益</w:t>
      </w:r>
    </w:p>
    <w:p w14:paraId="7D5AC42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医疗质量是医院工作的核心，保障患者安全权益是我们的首要任务。在2025年，我院将持续改进医疗质量和医疗安全管理，规范诊疗行为，优化就医流程，提升医疗服务同质化程度，严格遵守医疗规范和标准，加强对医疗服务的全程监控和评估，及时发现和解决医疗质量问题，加入区域医疗监管体系。持续加强传染病的监测、报告和管理，增强发现和应对突发性传染病的能力。进一步落实各项防控措施，有效控制传染病的流行。同时，我院将积极开展医疗纠纷调解工作，维护患者的合法权益。</w:t>
      </w:r>
    </w:p>
    <w:p w14:paraId="5E869CF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3、推进医疗信息化建设，提高医疗服务效率和质量</w:t>
      </w:r>
    </w:p>
    <w:p w14:paraId="47A0D376">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随着信息化技术的快速发展，医疗信息化建设已成为提升医疗服务的重要手段。在2025年，我院将重启互联网医院系统建设，方便患者线上问诊，为患者提供全方位的健康管理服务，提升患者就医体验。并利用专项债资金，继续全面推进医疗信息化建设，充分利用信息化手段，进一步完善信息化服务，计划通过门诊自助系统改进，微</w:t>
      </w:r>
    </w:p>
    <w:p w14:paraId="47504CD6">
      <w:pPr>
        <w:spacing w:line="560" w:lineRule="exact"/>
        <w:rPr>
          <w:rFonts w:ascii="宋体" w:hAnsi="宋体" w:eastAsia="宋体" w:cs="宋体"/>
          <w:sz w:val="28"/>
          <w:szCs w:val="28"/>
        </w:rPr>
      </w:pPr>
      <w:r>
        <w:rPr>
          <w:rFonts w:hint="eastAsia" w:ascii="宋体" w:hAnsi="宋体" w:eastAsia="宋体" w:cs="宋体"/>
          <w:sz w:val="28"/>
          <w:szCs w:val="28"/>
        </w:rPr>
        <w:t>信公众号功能升级改造，为患者提供更加便捷的智慧服务。开展以健康管理为主要形式的“互联网+健康医疗”服务，实现在线复诊、电子处方、药品配送、随访管理等线上线下一体化服务，节约患者就诊时间和往返医院服务。开展医院信息标准化建设，实现合理用药、远程会诊、检查检验结果互通共享。加强网络完全防护，强化应急处置，提升保护和对抗能力。</w:t>
      </w:r>
    </w:p>
    <w:p w14:paraId="78EC3B2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4、推进就医环境优化建设</w:t>
      </w:r>
    </w:p>
    <w:p w14:paraId="47E15CA0">
      <w:pPr>
        <w:spacing w:line="560" w:lineRule="exact"/>
        <w:ind w:firstLine="560" w:firstLineChars="200"/>
        <w:rPr>
          <w:rFonts w:ascii="宋体" w:hAnsi="宋体" w:eastAsia="宋体" w:cs="宋体"/>
          <w:sz w:val="28"/>
          <w:szCs w:val="28"/>
          <w:highlight w:val="yellow"/>
        </w:rPr>
      </w:pPr>
      <w:r>
        <w:rPr>
          <w:rFonts w:hint="eastAsia" w:ascii="宋体" w:hAnsi="宋体" w:eastAsia="宋体" w:cs="宋体"/>
          <w:sz w:val="28"/>
          <w:szCs w:val="28"/>
        </w:rPr>
        <w:t>持续改善医院就诊环境，将对一、二楼门诊、急诊进行结构优化并装修改造，打造符合儿童心理特点和安全需要的环境设施，构建符合儿童身心特点、呵护儿童健康全过程的温馨服务环境和友善氛围。我院制剂室已完成扩建搬迁改造，将在2025年对制剂室进行试生产和试运行。</w:t>
      </w:r>
    </w:p>
    <w:p w14:paraId="143B3501">
      <w:pPr>
        <w:spacing w:line="560" w:lineRule="exact"/>
        <w:ind w:firstLine="640" w:firstLineChars="200"/>
        <w:rPr>
          <w:rFonts w:ascii="Times New Roman" w:hAnsi="Times New Roman" w:eastAsia="方正黑体_GBK"/>
        </w:rPr>
      </w:pPr>
      <w:r>
        <w:rPr>
          <w:rFonts w:ascii="Times New Roman" w:hAnsi="Times New Roman" w:eastAsia="方正黑体_GBK"/>
        </w:rPr>
        <w:t>二、</w:t>
      </w:r>
      <w:r>
        <w:rPr>
          <w:rFonts w:hint="eastAsia" w:ascii="Times New Roman" w:hAnsi="Times New Roman" w:eastAsia="方正黑体_GBK"/>
        </w:rPr>
        <w:t>部门预算</w:t>
      </w:r>
      <w:r>
        <w:rPr>
          <w:rFonts w:ascii="Times New Roman" w:hAnsi="Times New Roman" w:eastAsia="方正黑体_GBK"/>
        </w:rPr>
        <w:t>单位构成</w:t>
      </w:r>
    </w:p>
    <w:p w14:paraId="5AC4DACF">
      <w:pPr>
        <w:ind w:firstLine="560" w:firstLineChars="200"/>
        <w:rPr>
          <w:rFonts w:ascii="Times New Roman" w:hAnsi="Times New Roman" w:eastAsia="方正仿宋_GBK"/>
          <w:b/>
        </w:rPr>
      </w:pPr>
      <w:r>
        <w:rPr>
          <w:rFonts w:hint="eastAsia" w:ascii="宋体" w:hAnsi="宋体" w:eastAsia="宋体" w:cs="宋体"/>
          <w:sz w:val="28"/>
          <w:szCs w:val="28"/>
        </w:rPr>
        <w:t>本单位无此项</w:t>
      </w:r>
    </w:p>
    <w:p w14:paraId="3578CE70">
      <w:pPr>
        <w:spacing w:line="560" w:lineRule="exact"/>
        <w:ind w:firstLine="640" w:firstLineChars="200"/>
        <w:rPr>
          <w:rFonts w:ascii="Times New Roman" w:hAnsi="Times New Roman" w:eastAsia="方正黑体_GBK"/>
        </w:rPr>
      </w:pPr>
      <w:r>
        <w:rPr>
          <w:rFonts w:hint="eastAsia" w:ascii="Times New Roman" w:hAnsi="Times New Roman" w:eastAsia="方正黑体_GBK"/>
        </w:rPr>
        <w:t>三、</w:t>
      </w:r>
      <w:r>
        <w:rPr>
          <w:rFonts w:ascii="Times New Roman" w:hAnsi="Times New Roman" w:eastAsia="方正黑体_GBK"/>
        </w:rPr>
        <w:t>202</w:t>
      </w:r>
      <w:r>
        <w:rPr>
          <w:rFonts w:hint="eastAsia" w:ascii="Times New Roman" w:hAnsi="Times New Roman" w:eastAsia="方正黑体_GBK"/>
        </w:rPr>
        <w:t>5</w:t>
      </w:r>
      <w:r>
        <w:rPr>
          <w:rFonts w:ascii="Times New Roman" w:eastAsia="方正黑体_GBK"/>
        </w:rPr>
        <w:t>年</w:t>
      </w:r>
      <w:r>
        <w:rPr>
          <w:rFonts w:hint="eastAsia" w:ascii="Times New Roman" w:hAnsi="Times New Roman" w:eastAsia="方正黑体_GBK"/>
        </w:rPr>
        <w:t>财政拨款收支预算情况的总体说明</w:t>
      </w:r>
    </w:p>
    <w:p w14:paraId="56138893">
      <w:pPr>
        <w:ind w:firstLine="560" w:firstLineChars="200"/>
        <w:rPr>
          <w:rFonts w:ascii="宋体" w:hAnsi="宋体" w:eastAsia="宋体" w:cs="宋体"/>
          <w:sz w:val="28"/>
          <w:szCs w:val="28"/>
        </w:rPr>
      </w:pPr>
      <w:r>
        <w:rPr>
          <w:rFonts w:hint="eastAsia" w:ascii="宋体" w:hAnsi="宋体" w:eastAsia="宋体" w:cs="宋体"/>
          <w:sz w:val="28"/>
          <w:szCs w:val="28"/>
        </w:rPr>
        <w:t>2025年财政拨款收支总预算954.06万元。收入包括：一般公共预算当年拨款收入954.06万元；支出包括：卫生健康支出卫生健康支出954.06万元。</w:t>
      </w:r>
    </w:p>
    <w:p w14:paraId="4CC612A9">
      <w:pPr>
        <w:spacing w:line="560" w:lineRule="exact"/>
        <w:ind w:firstLine="640" w:firstLineChars="200"/>
        <w:rPr>
          <w:rFonts w:ascii="Times New Roman" w:hAnsi="Times New Roman" w:eastAsia="方正黑体_GBK"/>
        </w:rPr>
      </w:pPr>
      <w:r>
        <w:rPr>
          <w:rFonts w:hint="eastAsia" w:ascii="Times New Roman" w:hAnsi="Times New Roman" w:eastAsia="方正黑体_GBK"/>
        </w:rPr>
        <w:t>四、</w:t>
      </w:r>
      <w:r>
        <w:rPr>
          <w:rFonts w:ascii="Times New Roman" w:hAnsi="Times New Roman" w:eastAsia="方正黑体_GBK"/>
        </w:rPr>
        <w:t>202</w:t>
      </w:r>
      <w:r>
        <w:rPr>
          <w:rFonts w:hint="eastAsia" w:ascii="Times New Roman" w:hAnsi="Times New Roman" w:eastAsia="方正黑体_GBK"/>
        </w:rPr>
        <w:t>5</w:t>
      </w:r>
      <w:r>
        <w:rPr>
          <w:rFonts w:ascii="Times New Roman" w:eastAsia="方正黑体_GBK"/>
        </w:rPr>
        <w:t>年</w:t>
      </w:r>
      <w:r>
        <w:rPr>
          <w:rFonts w:hint="eastAsia" w:ascii="Times New Roman" w:hAnsi="Times New Roman" w:eastAsia="方正黑体_GBK"/>
        </w:rPr>
        <w:t>一般公共预算当年拨款情况说明</w:t>
      </w:r>
    </w:p>
    <w:p w14:paraId="5A7142BF">
      <w:pPr>
        <w:spacing w:line="560" w:lineRule="exact"/>
        <w:ind w:firstLine="640" w:firstLineChars="200"/>
        <w:rPr>
          <w:rFonts w:ascii="Times New Roman" w:hAnsi="Times New Roman" w:eastAsia="方正楷体_GBK"/>
        </w:rPr>
      </w:pPr>
      <w:r>
        <w:rPr>
          <w:rFonts w:hint="eastAsia" w:ascii="Times New Roman" w:hAnsi="Times New Roman" w:eastAsia="方正楷体_GBK"/>
        </w:rPr>
        <w:t>（一）一般公共预算当年拨款规模变化情况</w:t>
      </w:r>
    </w:p>
    <w:p w14:paraId="30BC3602">
      <w:pPr>
        <w:ind w:firstLine="560" w:firstLineChars="200"/>
        <w:rPr>
          <w:rFonts w:ascii="宋体" w:hAnsi="宋体" w:eastAsia="宋体" w:cs="宋体"/>
          <w:sz w:val="28"/>
          <w:szCs w:val="28"/>
        </w:rPr>
      </w:pPr>
      <w:r>
        <w:rPr>
          <w:rFonts w:hint="eastAsia" w:ascii="宋体" w:hAnsi="宋体" w:eastAsia="宋体" w:cs="宋体"/>
          <w:sz w:val="28"/>
          <w:szCs w:val="28"/>
        </w:rPr>
        <w:t>成都儿童专科医院2025年一般公共预算当年拨款954.06万元，比2024年预算数1015.61万元减少61.55万元，减少6.06%，变动的主要原因是（1）我院2025年高职称退休人员增加，正编新进人员职称较低，人员经费减少21.02万元；（2）我院医疗岗位志愿者从2024年2人减少为1人，志愿者聘用时间截至为2025年9月，医疗卫生岗志愿者待遇经费减少14.13万元；（2）我院2025年发热门诊房屋租赁费较2024年减少26.4万元。</w:t>
      </w:r>
    </w:p>
    <w:p w14:paraId="6E913A57">
      <w:pPr>
        <w:spacing w:line="560" w:lineRule="exact"/>
        <w:ind w:firstLine="640" w:firstLineChars="200"/>
        <w:rPr>
          <w:rFonts w:ascii="Times New Roman" w:hAnsi="Times New Roman" w:eastAsia="方正楷体_GBK"/>
        </w:rPr>
      </w:pPr>
      <w:r>
        <w:rPr>
          <w:rFonts w:hint="eastAsia" w:ascii="Times New Roman" w:hAnsi="Times New Roman" w:eastAsia="方正楷体_GBK"/>
        </w:rPr>
        <w:t>（二）一般公共预算当年拨款结构情况</w:t>
      </w:r>
    </w:p>
    <w:p w14:paraId="79CCE6A7">
      <w:pPr>
        <w:ind w:firstLine="560" w:firstLineChars="200"/>
        <w:rPr>
          <w:rFonts w:ascii="宋体" w:hAnsi="宋体" w:eastAsia="宋体" w:cs="宋体"/>
          <w:sz w:val="28"/>
          <w:szCs w:val="28"/>
        </w:rPr>
      </w:pPr>
      <w:r>
        <w:rPr>
          <w:rFonts w:hint="eastAsia" w:ascii="宋体" w:hAnsi="宋体" w:eastAsia="宋体" w:cs="宋体"/>
          <w:sz w:val="28"/>
          <w:szCs w:val="28"/>
        </w:rPr>
        <w:t>卫生健康支出954.06万元，占100%；其中，2100207-儿童医院940.15万元，2101103-公务员医疗补助13.91万元。</w:t>
      </w:r>
    </w:p>
    <w:p w14:paraId="02D45CB1">
      <w:pPr>
        <w:spacing w:line="560" w:lineRule="exact"/>
        <w:ind w:firstLine="640" w:firstLineChars="200"/>
        <w:rPr>
          <w:rFonts w:ascii="Times New Roman" w:hAnsi="Times New Roman" w:eastAsia="方正楷体_GBK"/>
        </w:rPr>
      </w:pPr>
      <w:r>
        <w:rPr>
          <w:rFonts w:hint="eastAsia" w:ascii="Times New Roman" w:hAnsi="Times New Roman" w:eastAsia="方正楷体_GBK"/>
        </w:rPr>
        <w:t>（三）一般公共预算当年拨款具体使用情况</w:t>
      </w:r>
    </w:p>
    <w:p w14:paraId="1ADE3B19">
      <w:pPr>
        <w:ind w:firstLine="560" w:firstLineChars="200"/>
        <w:rPr>
          <w:rFonts w:ascii="宋体" w:hAnsi="宋体" w:eastAsia="宋体" w:cs="宋体"/>
          <w:sz w:val="28"/>
          <w:szCs w:val="28"/>
        </w:rPr>
      </w:pPr>
      <w:r>
        <w:rPr>
          <w:rFonts w:hint="eastAsia" w:ascii="宋体" w:hAnsi="宋体" w:eastAsia="宋体" w:cs="宋体"/>
          <w:sz w:val="28"/>
          <w:szCs w:val="28"/>
        </w:rPr>
        <w:t>1．2100207-儿童医院预算数为940.15万元，比2024年预算数1001.7万元减少61.55万元，减少6.14%，变动的主要原因为：（1）我院2025年高职称退休人员增加，正编新进人员职称较低，人员经费减少21.02万元；（2）我院医疗岗位志愿者从2024年2人减少为1人，志愿者聘用时间截至为2025年9月，医疗卫生岗志愿者待遇经费减少14.13万元。</w:t>
      </w:r>
    </w:p>
    <w:p w14:paraId="0ED4AD2A">
      <w:pPr>
        <w:ind w:firstLine="560" w:firstLineChars="200"/>
        <w:rPr>
          <w:rFonts w:ascii="宋体" w:hAnsi="宋体" w:eastAsia="宋体" w:cs="宋体"/>
          <w:sz w:val="28"/>
          <w:szCs w:val="28"/>
        </w:rPr>
      </w:pPr>
      <w:r>
        <w:rPr>
          <w:rFonts w:hint="eastAsia" w:ascii="宋体" w:hAnsi="宋体" w:eastAsia="宋体" w:cs="宋体"/>
          <w:sz w:val="28"/>
          <w:szCs w:val="28"/>
        </w:rPr>
        <w:t>2．2101103-公务员医疗补助预算数为13.91万元，与2024年预算数13.91万元相比没有变化。</w:t>
      </w:r>
    </w:p>
    <w:p w14:paraId="624A2C25">
      <w:pPr>
        <w:spacing w:line="560" w:lineRule="exact"/>
        <w:ind w:firstLine="640" w:firstLineChars="200"/>
        <w:rPr>
          <w:rFonts w:ascii="Times New Roman" w:hAnsi="Times New Roman" w:eastAsia="方正黑体_GBK"/>
        </w:rPr>
      </w:pPr>
      <w:r>
        <w:rPr>
          <w:rFonts w:hint="eastAsia" w:ascii="Times New Roman" w:hAnsi="Times New Roman" w:eastAsia="方正黑体_GBK"/>
        </w:rPr>
        <w:t>五、</w:t>
      </w:r>
      <w:r>
        <w:rPr>
          <w:rFonts w:ascii="Times New Roman" w:hAnsi="Times New Roman" w:eastAsia="方正黑体_GBK"/>
        </w:rPr>
        <w:t>202</w:t>
      </w:r>
      <w:r>
        <w:rPr>
          <w:rFonts w:hint="eastAsia" w:ascii="Times New Roman" w:hAnsi="Times New Roman" w:eastAsia="方正黑体_GBK"/>
        </w:rPr>
        <w:t>5年一般公共预算基本支出情况说明</w:t>
      </w:r>
    </w:p>
    <w:p w14:paraId="7FE84E14">
      <w:pPr>
        <w:ind w:firstLine="560" w:firstLineChars="200"/>
        <w:rPr>
          <w:rFonts w:ascii="Times New Roman" w:hAnsi="Times New Roman" w:eastAsia="宋体"/>
        </w:rPr>
      </w:pPr>
      <w:r>
        <w:rPr>
          <w:rFonts w:hint="eastAsia" w:ascii="宋体" w:hAnsi="宋体" w:eastAsia="宋体" w:cs="宋体"/>
          <w:sz w:val="28"/>
          <w:szCs w:val="28"/>
        </w:rPr>
        <w:t>成都儿童专科医院2025年一般公共预算基本支出868.56万元，其中：人员经费868.56万元，主要包括：基本工资、公务员医疗补助缴费。</w:t>
      </w:r>
    </w:p>
    <w:p w14:paraId="146C65AF">
      <w:pPr>
        <w:spacing w:line="560" w:lineRule="exact"/>
        <w:ind w:firstLine="640" w:firstLineChars="200"/>
        <w:rPr>
          <w:rFonts w:ascii="Times New Roman" w:hAnsi="Times New Roman" w:eastAsia="方正黑体_GBK"/>
        </w:rPr>
      </w:pPr>
      <w:r>
        <w:rPr>
          <w:rFonts w:hint="eastAsia" w:ascii="Times New Roman" w:hAnsi="Times New Roman" w:eastAsia="方正黑体_GBK"/>
        </w:rPr>
        <w:t>六</w:t>
      </w:r>
      <w:r>
        <w:rPr>
          <w:rFonts w:ascii="Times New Roman" w:hAnsi="Times New Roman" w:eastAsia="方正黑体_GBK"/>
        </w:rPr>
        <w:t>、</w:t>
      </w:r>
      <w:r>
        <w:rPr>
          <w:rFonts w:hint="eastAsia" w:ascii="Times New Roman" w:hAnsi="Times New Roman" w:eastAsia="方正黑体_GBK"/>
        </w:rPr>
        <w:t>财政拨款安排</w:t>
      </w:r>
      <w:r>
        <w:rPr>
          <w:rFonts w:ascii="Times New Roman" w:hAnsi="Times New Roman" w:eastAsia="方正黑体_GBK"/>
        </w:rPr>
        <w:t>“三公”经费预算情况说明</w:t>
      </w:r>
    </w:p>
    <w:p w14:paraId="23A7D1E7">
      <w:pPr>
        <w:spacing w:line="560" w:lineRule="exact"/>
        <w:ind w:firstLine="640" w:firstLineChars="200"/>
        <w:rPr>
          <w:rFonts w:ascii="Times New Roman" w:hAnsi="Times New Roman" w:eastAsia="方正楷体_GBK"/>
        </w:rPr>
      </w:pPr>
      <w:r>
        <w:rPr>
          <w:rFonts w:ascii="Times New Roman" w:hAnsi="Times New Roman" w:eastAsia="方正楷体_GBK"/>
        </w:rPr>
        <w:t>（一）因公出国（境）经费</w:t>
      </w:r>
    </w:p>
    <w:p w14:paraId="32BD8CB1">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14:paraId="7DACDC4E">
      <w:pPr>
        <w:spacing w:line="560" w:lineRule="exact"/>
        <w:ind w:firstLine="640" w:firstLineChars="200"/>
        <w:rPr>
          <w:rFonts w:ascii="Times New Roman" w:hAnsi="Times New Roman" w:eastAsia="方正楷体_GBK"/>
        </w:rPr>
      </w:pPr>
      <w:r>
        <w:rPr>
          <w:rFonts w:ascii="Times New Roman" w:hAnsi="Times New Roman" w:eastAsia="方正楷体_GBK"/>
        </w:rPr>
        <w:t>（二）公务接待费</w:t>
      </w:r>
    </w:p>
    <w:p w14:paraId="5B1D7C8B">
      <w:pPr>
        <w:ind w:firstLine="560" w:firstLineChars="200"/>
        <w:rPr>
          <w:rFonts w:ascii="Times New Roman" w:hAnsi="Times New Roman" w:eastAsia="方正仿宋_GBK"/>
        </w:rPr>
      </w:pPr>
      <w:r>
        <w:rPr>
          <w:rFonts w:hint="eastAsia" w:ascii="宋体" w:hAnsi="宋体" w:eastAsia="宋体" w:cs="宋体"/>
          <w:sz w:val="28"/>
          <w:szCs w:val="28"/>
        </w:rPr>
        <w:t>本单位无此项</w:t>
      </w:r>
    </w:p>
    <w:p w14:paraId="01A86168">
      <w:pPr>
        <w:spacing w:line="560" w:lineRule="exact"/>
        <w:ind w:firstLine="640" w:firstLineChars="200"/>
        <w:rPr>
          <w:rFonts w:ascii="Times New Roman" w:hAnsi="Times New Roman" w:eastAsia="方正楷体_GBK"/>
        </w:rPr>
      </w:pPr>
      <w:r>
        <w:rPr>
          <w:rFonts w:ascii="Times New Roman" w:hAnsi="Times New Roman" w:eastAsia="方正楷体_GBK"/>
        </w:rPr>
        <w:t>（三）公务用车购置及运行维护费</w:t>
      </w:r>
    </w:p>
    <w:p w14:paraId="0090EAD6">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14:paraId="4FAD263D">
      <w:pPr>
        <w:spacing w:line="560" w:lineRule="exact"/>
        <w:ind w:firstLine="640" w:firstLineChars="200"/>
        <w:rPr>
          <w:rFonts w:ascii="Times New Roman" w:hAnsi="Times New Roman" w:eastAsia="方正黑体_GBK"/>
        </w:rPr>
      </w:pPr>
      <w:r>
        <w:rPr>
          <w:rFonts w:hint="eastAsia" w:ascii="Times New Roman" w:hAnsi="Times New Roman" w:eastAsia="方正黑体_GBK"/>
        </w:rPr>
        <w:t>七、</w:t>
      </w:r>
      <w:r>
        <w:rPr>
          <w:rFonts w:ascii="Times New Roman" w:hAnsi="Times New Roman" w:eastAsia="方正黑体_GBK"/>
        </w:rPr>
        <w:t>202</w:t>
      </w:r>
      <w:r>
        <w:rPr>
          <w:rFonts w:hint="eastAsia" w:ascii="Times New Roman" w:hAnsi="Times New Roman" w:eastAsia="方正黑体_GBK"/>
        </w:rPr>
        <w:t>5年政府性基金预算收支及变化情况的说明</w:t>
      </w:r>
    </w:p>
    <w:p w14:paraId="3C661813">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14:paraId="67E4B124">
      <w:pPr>
        <w:spacing w:line="560" w:lineRule="exact"/>
        <w:ind w:firstLine="640" w:firstLineChars="200"/>
        <w:rPr>
          <w:rFonts w:ascii="Times New Roman" w:hAnsi="Times New Roman" w:eastAsia="方正黑体_GBK"/>
        </w:rPr>
      </w:pPr>
      <w:r>
        <w:rPr>
          <w:rFonts w:hint="eastAsia" w:ascii="Times New Roman" w:hAnsi="Times New Roman" w:eastAsia="方正黑体_GBK"/>
        </w:rPr>
        <w:t>八</w:t>
      </w:r>
      <w:r>
        <w:rPr>
          <w:rFonts w:ascii="Times New Roman" w:hAnsi="Times New Roman" w:eastAsia="方正黑体_GBK"/>
        </w:rPr>
        <w:t>、202</w:t>
      </w:r>
      <w:r>
        <w:rPr>
          <w:rFonts w:hint="eastAsia" w:ascii="Times New Roman" w:hAnsi="Times New Roman" w:eastAsia="方正黑体_GBK"/>
        </w:rPr>
        <w:t>5年</w:t>
      </w:r>
      <w:r>
        <w:rPr>
          <w:rFonts w:ascii="Times New Roman" w:hAnsi="Times New Roman" w:eastAsia="方正黑体_GBK"/>
        </w:rPr>
        <w:t>预算收支</w:t>
      </w:r>
      <w:r>
        <w:rPr>
          <w:rFonts w:hint="eastAsia" w:ascii="Times New Roman" w:hAnsi="Times New Roman" w:eastAsia="方正黑体_GBK"/>
        </w:rPr>
        <w:t>及变化情况的总体</w:t>
      </w:r>
      <w:r>
        <w:rPr>
          <w:rFonts w:ascii="Times New Roman" w:hAnsi="Times New Roman" w:eastAsia="方正黑体_GBK"/>
        </w:rPr>
        <w:t>说明</w:t>
      </w:r>
    </w:p>
    <w:p w14:paraId="26C8A2EA">
      <w:pPr>
        <w:ind w:firstLine="560" w:firstLineChars="200"/>
        <w:rPr>
          <w:rFonts w:ascii="Times New Roman" w:eastAsia="方正仿宋_GBK"/>
        </w:rPr>
      </w:pPr>
      <w:r>
        <w:rPr>
          <w:rFonts w:hint="eastAsia" w:ascii="宋体" w:hAnsi="宋体" w:eastAsia="宋体" w:cs="宋体"/>
          <w:sz w:val="28"/>
          <w:szCs w:val="28"/>
        </w:rPr>
        <w:t>按照综合预算的原则，成都儿童专科医院所有收入和支出均纳入部门预算管理。收入包括：一般公共预算财政拨款收入、事业收入；支出包括：卫生健康支出。成都儿童专科医院2025年收支总预算16454.06万元，比2024年预算数17009.61万元减少555.55万元，减少3.27%，变动的主要原因是与2024年相比，就医人次减少，次均费用减少，事业收入、事业支出预算减少。</w:t>
      </w:r>
    </w:p>
    <w:p w14:paraId="76820C5A">
      <w:pPr>
        <w:spacing w:line="560" w:lineRule="exact"/>
        <w:ind w:firstLine="640" w:firstLineChars="200"/>
        <w:rPr>
          <w:rFonts w:ascii="Times New Roman" w:hAnsi="Times New Roman" w:eastAsia="方正黑体_GBK"/>
        </w:rPr>
      </w:pPr>
      <w:r>
        <w:rPr>
          <w:rFonts w:hint="eastAsia" w:ascii="Times New Roman" w:hAnsi="Times New Roman" w:eastAsia="方正黑体_GBK"/>
        </w:rPr>
        <w:t>九</w:t>
      </w:r>
      <w:r>
        <w:rPr>
          <w:rFonts w:ascii="Times New Roman" w:eastAsia="方正黑体_GBK"/>
        </w:rPr>
        <w:t>、</w:t>
      </w:r>
      <w:r>
        <w:rPr>
          <w:rFonts w:ascii="Times New Roman" w:hAnsi="Times New Roman" w:eastAsia="方正黑体_GBK"/>
        </w:rPr>
        <w:t>202</w:t>
      </w:r>
      <w:r>
        <w:rPr>
          <w:rFonts w:hint="eastAsia" w:ascii="Times New Roman" w:hAnsi="Times New Roman" w:eastAsia="方正黑体_GBK"/>
        </w:rPr>
        <w:t>5年收入预算情况说明</w:t>
      </w:r>
    </w:p>
    <w:p w14:paraId="3A8A9185">
      <w:pPr>
        <w:ind w:firstLine="560" w:firstLineChars="200"/>
        <w:rPr>
          <w:rFonts w:ascii="Times New Roman" w:eastAsia="方正仿宋_GBK"/>
          <w:b/>
        </w:rPr>
      </w:pPr>
      <w:r>
        <w:rPr>
          <w:rFonts w:hint="eastAsia" w:ascii="宋体" w:hAnsi="宋体" w:eastAsia="宋体" w:cs="宋体"/>
          <w:sz w:val="28"/>
          <w:szCs w:val="28"/>
        </w:rPr>
        <w:t>成都儿童专科医院2025年收入预算16454.06万元，其中：一般公共预算拨款收入954.06万元，占5.80%；事业收入15500万元，占94.20%。</w:t>
      </w:r>
    </w:p>
    <w:p w14:paraId="7F5D3587">
      <w:pPr>
        <w:spacing w:line="560" w:lineRule="exact"/>
        <w:ind w:firstLine="640" w:firstLineChars="200"/>
        <w:rPr>
          <w:rFonts w:ascii="Times New Roman" w:hAnsi="Times New Roman" w:eastAsia="方正黑体_GBK"/>
        </w:rPr>
      </w:pPr>
      <w:r>
        <w:rPr>
          <w:rFonts w:hint="eastAsia" w:ascii="Times New Roman" w:hAnsi="Times New Roman" w:eastAsia="方正黑体_GBK"/>
        </w:rPr>
        <w:t>十、</w:t>
      </w:r>
      <w:r>
        <w:rPr>
          <w:rFonts w:ascii="Times New Roman" w:hAnsi="Times New Roman" w:eastAsia="方正黑体_GBK"/>
        </w:rPr>
        <w:t>202</w:t>
      </w:r>
      <w:r>
        <w:rPr>
          <w:rFonts w:hint="eastAsia" w:ascii="Times New Roman" w:hAnsi="Times New Roman" w:eastAsia="方正黑体_GBK"/>
        </w:rPr>
        <w:t>5</w:t>
      </w:r>
      <w:r>
        <w:rPr>
          <w:rFonts w:ascii="Times New Roman" w:eastAsia="方正黑体_GBK"/>
        </w:rPr>
        <w:t>年</w:t>
      </w:r>
      <w:r>
        <w:rPr>
          <w:rFonts w:hint="eastAsia" w:ascii="Times New Roman" w:hAnsi="Times New Roman" w:eastAsia="方正黑体_GBK"/>
        </w:rPr>
        <w:t>支出预算情况说明</w:t>
      </w:r>
    </w:p>
    <w:p w14:paraId="51F368F8">
      <w:pPr>
        <w:ind w:firstLine="560" w:firstLineChars="200"/>
        <w:rPr>
          <w:rFonts w:ascii="宋体" w:hAnsi="宋体" w:eastAsia="宋体" w:cs="宋体"/>
          <w:sz w:val="28"/>
          <w:szCs w:val="28"/>
        </w:rPr>
      </w:pPr>
      <w:r>
        <w:rPr>
          <w:rFonts w:hint="eastAsia" w:ascii="宋体" w:hAnsi="宋体" w:eastAsia="宋体" w:cs="宋体"/>
          <w:sz w:val="28"/>
          <w:szCs w:val="28"/>
        </w:rPr>
        <w:t>2025年成都儿童专科医院预算本年支出总计16454.06万元，其中：基本支出预算868.56万元，占5.28%；部门项目支出预算15585.50万元，占94.72%。</w:t>
      </w:r>
    </w:p>
    <w:p w14:paraId="1995E43D">
      <w:pPr>
        <w:spacing w:line="560" w:lineRule="exact"/>
        <w:ind w:firstLine="640" w:firstLineChars="200"/>
        <w:rPr>
          <w:rFonts w:ascii="Times New Roman" w:hAnsi="Times New Roman" w:eastAsia="方正黑体_GBK"/>
        </w:rPr>
      </w:pPr>
      <w:r>
        <w:rPr>
          <w:rFonts w:hint="eastAsia" w:ascii="Times New Roman" w:hAnsi="Times New Roman" w:eastAsia="方正黑体_GBK"/>
        </w:rPr>
        <w:t>十一</w:t>
      </w:r>
      <w:r>
        <w:rPr>
          <w:rFonts w:ascii="Times New Roman" w:hAnsi="Times New Roman" w:eastAsia="方正黑体_GBK"/>
        </w:rPr>
        <w:t>、</w:t>
      </w:r>
      <w:r>
        <w:rPr>
          <w:rFonts w:hint="eastAsia" w:ascii="Times New Roman" w:hAnsi="Times New Roman" w:eastAsia="方正黑体_GBK"/>
        </w:rPr>
        <w:t>其他重要事项的情况说明</w:t>
      </w:r>
    </w:p>
    <w:p w14:paraId="59403498">
      <w:pPr>
        <w:spacing w:line="560" w:lineRule="exact"/>
        <w:ind w:firstLine="640" w:firstLineChars="200"/>
        <w:rPr>
          <w:rFonts w:ascii="Times New Roman" w:hAnsi="Times New Roman" w:eastAsia="方正楷体_GBK"/>
        </w:rPr>
      </w:pPr>
      <w:r>
        <w:rPr>
          <w:rFonts w:ascii="Times New Roman" w:hAnsi="Times New Roman" w:eastAsia="方正楷体_GBK"/>
        </w:rPr>
        <w:t>（一）机关运行经费</w:t>
      </w:r>
    </w:p>
    <w:p w14:paraId="35C597B1">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14:paraId="71FD8E70">
      <w:pPr>
        <w:spacing w:line="560" w:lineRule="exact"/>
        <w:ind w:firstLine="640" w:firstLineChars="200"/>
        <w:rPr>
          <w:rFonts w:ascii="Times New Roman" w:hAnsi="Times New Roman" w:eastAsia="方正楷体_GBK"/>
        </w:rPr>
      </w:pPr>
      <w:r>
        <w:rPr>
          <w:rFonts w:ascii="Times New Roman" w:hAnsi="Times New Roman" w:eastAsia="方正楷体_GBK"/>
        </w:rPr>
        <w:t>（二）政府采购情况</w:t>
      </w:r>
    </w:p>
    <w:p w14:paraId="62050DD9">
      <w:pPr>
        <w:ind w:firstLine="560" w:firstLineChars="200"/>
        <w:rPr>
          <w:rFonts w:ascii="宋体" w:hAnsi="宋体" w:eastAsia="宋体" w:cs="宋体"/>
          <w:sz w:val="28"/>
          <w:szCs w:val="28"/>
        </w:rPr>
      </w:pPr>
      <w:r>
        <w:rPr>
          <w:rFonts w:hint="eastAsia" w:ascii="宋体" w:hAnsi="宋体" w:eastAsia="宋体" w:cs="宋体"/>
          <w:sz w:val="28"/>
          <w:szCs w:val="28"/>
        </w:rPr>
        <w:t>2025年成都儿童专科医院政府采购预算总额1778.80万元，其中：政府采购货物预算1051.75万元、政府采购服务预算727.05万元。</w:t>
      </w:r>
    </w:p>
    <w:p w14:paraId="775142DB">
      <w:pPr>
        <w:spacing w:line="560" w:lineRule="exact"/>
        <w:ind w:firstLine="640" w:firstLineChars="200"/>
        <w:rPr>
          <w:rFonts w:ascii="Times New Roman" w:hAnsi="Times New Roman" w:eastAsia="方正楷体_GBK"/>
        </w:rPr>
      </w:pPr>
      <w:r>
        <w:rPr>
          <w:rFonts w:ascii="Times New Roman" w:hAnsi="Times New Roman" w:eastAsia="方正楷体_GBK"/>
        </w:rPr>
        <w:t>（三）国有资产占有使用情况</w:t>
      </w:r>
    </w:p>
    <w:p w14:paraId="1D094001">
      <w:pPr>
        <w:ind w:firstLine="560" w:firstLineChars="200"/>
        <w:rPr>
          <w:rFonts w:ascii="宋体" w:hAnsi="宋体" w:eastAsia="宋体" w:cs="宋体"/>
          <w:sz w:val="28"/>
          <w:szCs w:val="28"/>
        </w:rPr>
      </w:pPr>
      <w:r>
        <w:rPr>
          <w:rFonts w:hint="eastAsia" w:ascii="宋体" w:hAnsi="宋体" w:eastAsia="宋体" w:cs="宋体"/>
          <w:sz w:val="28"/>
          <w:szCs w:val="28"/>
        </w:rPr>
        <w:t>2025年，成都儿童专科医院共有车辆5辆，其中，应急保障用车2辆、特种专业技术用车3辆。单位价值200万元以上大型设备1台。</w:t>
      </w:r>
    </w:p>
    <w:p w14:paraId="3705C2F1">
      <w:pPr>
        <w:ind w:firstLine="560" w:firstLineChars="200"/>
        <w:rPr>
          <w:rFonts w:ascii="宋体" w:hAnsi="宋体" w:eastAsia="宋体" w:cs="宋体"/>
          <w:sz w:val="28"/>
          <w:szCs w:val="28"/>
        </w:rPr>
      </w:pPr>
      <w:r>
        <w:rPr>
          <w:rFonts w:hint="eastAsia" w:ascii="宋体" w:hAnsi="宋体" w:eastAsia="宋体" w:cs="宋体"/>
          <w:sz w:val="28"/>
          <w:szCs w:val="28"/>
        </w:rPr>
        <w:t>2025年成都儿童专科医院预算未安排购置车辆及单位价值200万元以上大型设备。</w:t>
      </w:r>
    </w:p>
    <w:p w14:paraId="510844B9">
      <w:pPr>
        <w:spacing w:line="560" w:lineRule="exact"/>
        <w:ind w:firstLine="640" w:firstLineChars="200"/>
        <w:rPr>
          <w:rFonts w:ascii="Times New Roman" w:hAnsi="Times New Roman" w:eastAsia="方正楷体_GBK"/>
        </w:rPr>
      </w:pPr>
      <w:r>
        <w:rPr>
          <w:rFonts w:hint="eastAsia" w:ascii="Times New Roman" w:hAnsi="Times New Roman" w:eastAsia="方正楷体_GBK"/>
        </w:rPr>
        <w:t>（四）预算绩效管理情况</w:t>
      </w:r>
    </w:p>
    <w:p w14:paraId="44F76FF6">
      <w:pPr>
        <w:ind w:firstLine="560" w:firstLineChars="200"/>
        <w:rPr>
          <w:rFonts w:ascii="宋体" w:hAnsi="宋体" w:eastAsia="宋体" w:cs="宋体"/>
          <w:sz w:val="28"/>
          <w:szCs w:val="28"/>
        </w:rPr>
      </w:pPr>
      <w:r>
        <w:rPr>
          <w:rFonts w:hint="eastAsia" w:ascii="宋体" w:hAnsi="宋体" w:eastAsia="宋体" w:cs="宋体"/>
          <w:sz w:val="28"/>
          <w:szCs w:val="28"/>
        </w:rPr>
        <w:t>2025年成都儿童专科医院实行绩效目标管理的项目5个，涉及预算15585.50万元，其中，一般公共预算85.50万元。</w:t>
      </w:r>
    </w:p>
    <w:p w14:paraId="7CE0DA38">
      <w:pPr>
        <w:numPr>
          <w:ilvl w:val="0"/>
          <w:numId w:val="1"/>
        </w:numPr>
        <w:spacing w:line="560" w:lineRule="exact"/>
        <w:ind w:firstLine="640" w:firstLineChars="200"/>
        <w:rPr>
          <w:rFonts w:ascii="Times New Roman" w:hAnsi="Times New Roman" w:eastAsia="方正楷体_GBK"/>
        </w:rPr>
      </w:pPr>
      <w:r>
        <w:rPr>
          <w:rFonts w:hint="eastAsia" w:ascii="Times New Roman" w:hAnsi="Times New Roman" w:eastAsia="方正楷体_GBK"/>
        </w:rPr>
        <w:t>重点项目预算的绩效目标情况说明</w:t>
      </w:r>
    </w:p>
    <w:p w14:paraId="6E50D3E4">
      <w:pPr>
        <w:spacing w:line="560" w:lineRule="exact"/>
        <w:ind w:firstLine="560" w:firstLineChars="200"/>
        <w:rPr>
          <w:rFonts w:ascii="Times New Roman" w:hAnsi="Times New Roman" w:eastAsia="方正黑体_GBK"/>
          <w:kern w:val="0"/>
        </w:rPr>
      </w:pPr>
      <w:r>
        <w:rPr>
          <w:rFonts w:hint="eastAsia" w:ascii="宋体" w:hAnsi="宋体" w:eastAsia="宋体" w:cs="宋体"/>
          <w:sz w:val="28"/>
          <w:szCs w:val="28"/>
        </w:rPr>
        <w:t>2025年成都儿童专科医院不涉及重点项目预算</w:t>
      </w:r>
      <w:r>
        <w:rPr>
          <w:rFonts w:ascii="Times New Roman" w:hAnsi="Times New Roman" w:eastAsia="方正仿宋_GBK"/>
        </w:rPr>
        <w:br w:type="page"/>
      </w:r>
      <w:r>
        <w:rPr>
          <w:rFonts w:ascii="Times New Roman" w:hAnsi="Times New Roman" w:eastAsia="方正黑体_GBK"/>
          <w:kern w:val="0"/>
        </w:rPr>
        <w:t>附件3</w:t>
      </w:r>
    </w:p>
    <w:p w14:paraId="7BF65995">
      <w:pPr>
        <w:rPr>
          <w:rFonts w:ascii="黑体" w:hAnsi="黑体" w:eastAsia="黑体"/>
          <w:kern w:val="0"/>
        </w:rPr>
      </w:pPr>
    </w:p>
    <w:p w14:paraId="02ACA74F">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青羊区成都儿童专科医院</w:t>
      </w:r>
    </w:p>
    <w:p w14:paraId="3E2FC297">
      <w:pPr>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5</w:t>
      </w:r>
      <w:r>
        <w:rPr>
          <w:rFonts w:ascii="Times New Roman" w:hAnsi="Times New Roman" w:eastAsia="方正小标宋简体"/>
          <w:sz w:val="44"/>
          <w:szCs w:val="44"/>
        </w:rPr>
        <w:t>年部门预算</w:t>
      </w:r>
      <w:r>
        <w:rPr>
          <w:rFonts w:hint="eastAsia" w:ascii="Times New Roman" w:hAnsi="Times New Roman" w:eastAsia="方正小标宋简体"/>
          <w:sz w:val="44"/>
          <w:szCs w:val="44"/>
        </w:rPr>
        <w:t>名词解释</w:t>
      </w:r>
    </w:p>
    <w:p w14:paraId="758A926D">
      <w:pPr>
        <w:ind w:firstLine="640" w:firstLineChars="200"/>
        <w:rPr>
          <w:rFonts w:ascii="Times New Roman" w:hAnsi="Times New Roman" w:eastAsia="方正黑体"/>
        </w:rPr>
      </w:pPr>
    </w:p>
    <w:p w14:paraId="37BBD26C">
      <w:pPr>
        <w:ind w:firstLine="640" w:firstLineChars="200"/>
        <w:rPr>
          <w:rFonts w:ascii="Times New Roman" w:hAnsi="Times New Roman" w:eastAsia="方正仿宋_GBK"/>
        </w:rPr>
      </w:pPr>
      <w:r>
        <w:rPr>
          <w:rFonts w:hint="eastAsia" w:ascii="Times New Roman" w:hAnsi="Times New Roman" w:eastAsia="方正仿宋_GBK"/>
        </w:rPr>
        <w:t>财政拨款收入</w:t>
      </w:r>
      <w:r>
        <w:rPr>
          <w:rFonts w:ascii="Times New Roman" w:hAnsi="Times New Roman" w:eastAsia="方正仿宋_GBK"/>
        </w:rPr>
        <w:t>：指</w:t>
      </w:r>
      <w:r>
        <w:rPr>
          <w:rFonts w:hint="eastAsia" w:ascii="Times New Roman" w:hAnsi="Times New Roman" w:eastAsia="方正仿宋_GBK"/>
        </w:rPr>
        <w:t>区级</w:t>
      </w:r>
      <w:r>
        <w:rPr>
          <w:rFonts w:ascii="Times New Roman" w:hAnsi="Times New Roman" w:eastAsia="方正仿宋_GBK"/>
        </w:rPr>
        <w:t>财政当年拨付的资金。</w:t>
      </w:r>
    </w:p>
    <w:p w14:paraId="76D0E733">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事业收入：指事业单位开展专业业务活动及辅助活动取得的收入。如…（二级预算单位事业收入情况）等。</w:t>
      </w:r>
    </w:p>
    <w:p w14:paraId="456B5096">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经营收入：指事业单位在专业业务活动及其辅助活动之外开展非独立核算经营活动取得的收入。如…（二级预算单位经营收入情况）等。</w:t>
      </w:r>
    </w:p>
    <w:p w14:paraId="1C895DA2">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其他收入：指单位取得的除上述收入以外的各项收入。主要是…（收入类型）等。</w:t>
      </w:r>
    </w:p>
    <w:p w14:paraId="572CBE41">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使用非财政拨款结余：指事业单位使用以前年度积累的非财政拨款结余弥补当年收支差额的金额。</w:t>
      </w:r>
    </w:p>
    <w:p w14:paraId="09D1EA64">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年初结转和结余：指以前年度尚未完成、结转到本年按有关规定继续使用的资金。</w:t>
      </w:r>
    </w:p>
    <w:p w14:paraId="22793DEE">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结余分配：指事业单位按照会计制度规定缴纳的所得税、提取的专用结余以及转入非财政拨款结余的金额等。</w:t>
      </w:r>
    </w:p>
    <w:p w14:paraId="61CFF46C">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年末结转和结余：指单位按有关规定结转到下年或以后年度继续使用的资金。</w:t>
      </w:r>
    </w:p>
    <w:p w14:paraId="7ECA07D3">
      <w:pPr>
        <w:ind w:firstLine="640" w:firstLineChars="200"/>
        <w:rPr>
          <w:rFonts w:ascii="Times New Roman" w:hAnsi="Times New Roman" w:eastAsia="方正仿宋_GBK"/>
        </w:rPr>
      </w:pPr>
      <w:r>
        <w:rPr>
          <w:rFonts w:hint="eastAsia" w:ascii="Times New Roman" w:hAnsi="Times New Roman" w:eastAsia="方正仿宋_GBK"/>
        </w:rPr>
        <w:t>上年结转</w:t>
      </w:r>
      <w:r>
        <w:rPr>
          <w:rFonts w:ascii="Times New Roman" w:hAnsi="Times New Roman" w:eastAsia="方正仿宋_GBK"/>
        </w:rPr>
        <w:t>：指以前年度预算安排、因客观条件发生变化无法按原计划实施，</w:t>
      </w:r>
      <w:r>
        <w:rPr>
          <w:rFonts w:hint="eastAsia" w:ascii="Times New Roman" w:hAnsi="Times New Roman" w:eastAsia="方正仿宋_GBK"/>
        </w:rPr>
        <w:t>结转到</w:t>
      </w:r>
      <w:r>
        <w:rPr>
          <w:rFonts w:ascii="Times New Roman" w:hAnsi="Times New Roman" w:eastAsia="方正仿宋_GBK"/>
        </w:rPr>
        <w:t>本年按原规定用途继续使用的资金。</w:t>
      </w:r>
    </w:p>
    <w:p w14:paraId="59977D99">
      <w:pPr>
        <w:ind w:firstLine="640" w:firstLineChars="200"/>
        <w:rPr>
          <w:rFonts w:ascii="Times New Roman" w:hAnsi="Times New Roman" w:eastAsia="方正仿宋_GBK"/>
        </w:rPr>
      </w:pPr>
      <w:r>
        <w:rPr>
          <w:rFonts w:ascii="Times New Roman" w:hAnsi="Times New Roman" w:eastAsia="方正仿宋_GBK"/>
        </w:rPr>
        <w:t>基本支出：指为保障机构正常运转、完成日常工作任务而发生的人员支出和公用支出。</w:t>
      </w:r>
    </w:p>
    <w:p w14:paraId="27E7E094">
      <w:pPr>
        <w:ind w:firstLine="640" w:firstLineChars="200"/>
        <w:rPr>
          <w:rFonts w:ascii="Times New Roman" w:hAnsi="Times New Roman" w:eastAsia="方正仿宋_GBK"/>
        </w:rPr>
      </w:pPr>
      <w:r>
        <w:rPr>
          <w:rFonts w:ascii="Times New Roman" w:hAnsi="Times New Roman" w:eastAsia="方正仿宋_GBK"/>
        </w:rPr>
        <w:t>项目支出：指在基本支出之外为完成特定行政任务和事业发展目标所发生的支出。</w:t>
      </w:r>
    </w:p>
    <w:p w14:paraId="655DD4B2">
      <w:pPr>
        <w:pStyle w:val="11"/>
        <w:topLinePunct/>
        <w:autoSpaceDE/>
        <w:autoSpaceDN/>
        <w:spacing w:line="540" w:lineRule="exact"/>
        <w:ind w:firstLine="640" w:firstLineChars="200"/>
        <w:rPr>
          <w:rFonts w:ascii="Times New Roman" w:hAnsi="Times New Roman" w:eastAsia="方正仿宋_GBK"/>
        </w:rPr>
      </w:pPr>
      <w:r>
        <w:rPr>
          <w:rFonts w:ascii="Times New Roman" w:hAnsi="Times New Roman" w:eastAsia="方正仿宋_GBK" w:cs="Times New Roman"/>
          <w:sz w:val="32"/>
          <w:szCs w:val="32"/>
        </w:rPr>
        <w:t>经营支出：指事业单位在专业业务活动及其辅助活动之外开展非独立核算经营活动发生的支出。</w:t>
      </w:r>
    </w:p>
    <w:p w14:paraId="6D2D3C21">
      <w:pPr>
        <w:ind w:firstLine="640" w:firstLineChars="200"/>
        <w:rPr>
          <w:rFonts w:ascii="Times New Roman" w:hAnsi="Times New Roman" w:eastAsia="方正仿宋_GBK"/>
        </w:rPr>
      </w:pPr>
      <w:r>
        <w:rPr>
          <w:rFonts w:hint="eastAsia" w:ascii="Times New Roman" w:hAnsi="Times New Roman" w:eastAsia="方正仿宋_GBK"/>
        </w:rPr>
        <w:t>“</w:t>
      </w:r>
      <w:r>
        <w:rPr>
          <w:rFonts w:ascii="Times New Roman" w:hAnsi="Times New Roman" w:eastAsia="方正仿宋_GBK"/>
        </w:rPr>
        <w:t>三公</w:t>
      </w:r>
      <w:r>
        <w:rPr>
          <w:rFonts w:hint="eastAsia" w:ascii="Times New Roman" w:hAnsi="Times New Roman" w:eastAsia="方正仿宋_GBK"/>
        </w:rPr>
        <w:t>”</w:t>
      </w:r>
      <w:r>
        <w:rPr>
          <w:rFonts w:ascii="Times New Roman" w:hAnsi="Times New Roman" w:eastAsia="方正仿宋_GBK"/>
        </w:rPr>
        <w:t>经费：纳入财政预决算管理的</w:t>
      </w:r>
      <w:r>
        <w:rPr>
          <w:rFonts w:hint="eastAsia" w:ascii="Times New Roman" w:hAnsi="Times New Roman" w:eastAsia="方正仿宋_GBK"/>
        </w:rPr>
        <w:t>“</w:t>
      </w:r>
      <w:r>
        <w:rPr>
          <w:rFonts w:ascii="Times New Roman" w:hAnsi="Times New Roman" w:eastAsia="方正仿宋_GBK"/>
        </w:rPr>
        <w:t>三公</w:t>
      </w:r>
      <w:r>
        <w:rPr>
          <w:rFonts w:hint="eastAsia" w:ascii="Times New Roman" w:hAnsi="Times New Roman" w:eastAsia="方正仿宋_GBK"/>
        </w:rPr>
        <w:t>”</w:t>
      </w:r>
      <w:r>
        <w:rPr>
          <w:rFonts w:ascii="Times New Roman" w:hAnsi="Times New Roman" w:eastAsia="方正仿宋_GBK"/>
        </w:rPr>
        <w:t>经费，是指部门用财政拨款安排的因公出国</w:t>
      </w:r>
      <w:r>
        <w:rPr>
          <w:rFonts w:hint="eastAsia" w:ascii="Times New Roman" w:hAnsi="Times New Roman" w:eastAsia="方正仿宋_GBK"/>
        </w:rPr>
        <w:t>（境）</w:t>
      </w:r>
      <w:r>
        <w:rPr>
          <w:rFonts w:ascii="Times New Roman" w:hAnsi="Times New Roman" w:eastAsia="方正仿宋_GBK"/>
        </w:rPr>
        <w:t>费、公务用车购置及运行费和公务接待费。其中，因公出国</w:t>
      </w:r>
      <w:r>
        <w:rPr>
          <w:rFonts w:hint="eastAsia" w:ascii="Times New Roman" w:hAnsi="Times New Roman" w:eastAsia="方正仿宋_GBK"/>
        </w:rPr>
        <w:t>（境）</w:t>
      </w:r>
      <w:r>
        <w:rPr>
          <w:rFonts w:ascii="Times New Roman" w:hAnsi="Times New Roman" w:eastAsia="方正仿宋_GBK"/>
        </w:rPr>
        <w:t>费反映单位公务出国</w:t>
      </w:r>
      <w:r>
        <w:rPr>
          <w:rFonts w:hint="eastAsia" w:ascii="Times New Roman" w:hAnsi="Times New Roman" w:eastAsia="方正仿宋_GBK"/>
        </w:rPr>
        <w:t>（境）</w:t>
      </w:r>
      <w:r>
        <w:rPr>
          <w:rFonts w:ascii="Times New Roman" w:hAnsi="Times New Roman" w:eastAsia="方正仿宋_GBK"/>
        </w:rPr>
        <w:t>的国际旅费、国外城市间交通费、住宿费、伙食费、培训费、公杂费等支出；公务用车购置及运行费反映单位公务用车车辆购置支出</w:t>
      </w:r>
      <w:r>
        <w:rPr>
          <w:rFonts w:hint="eastAsia" w:ascii="Times New Roman" w:hAnsi="Times New Roman" w:eastAsia="方正仿宋_GBK"/>
        </w:rPr>
        <w:t>（</w:t>
      </w:r>
      <w:r>
        <w:rPr>
          <w:rFonts w:ascii="Times New Roman" w:hAnsi="Times New Roman" w:eastAsia="方正仿宋_GBK"/>
        </w:rPr>
        <w:t>含车辆购置税</w:t>
      </w:r>
      <w:r>
        <w:rPr>
          <w:rFonts w:hint="eastAsia" w:ascii="Times New Roman" w:hAnsi="Times New Roman" w:eastAsia="方正仿宋_GBK"/>
        </w:rPr>
        <w:t>）</w:t>
      </w:r>
      <w:r>
        <w:rPr>
          <w:rFonts w:ascii="Times New Roman" w:hAnsi="Times New Roman" w:eastAsia="方正仿宋_GBK"/>
        </w:rPr>
        <w:t>及租用费、燃料费、维修费、过路过桥费、保险费、安全奖励费用等支出；公务接待费反映单位按规定开支的各类公务接待</w:t>
      </w:r>
      <w:r>
        <w:rPr>
          <w:rFonts w:hint="eastAsia" w:ascii="Times New Roman" w:hAnsi="Times New Roman" w:eastAsia="方正仿宋_GBK"/>
        </w:rPr>
        <w:t>（</w:t>
      </w:r>
      <w:r>
        <w:rPr>
          <w:rFonts w:ascii="Times New Roman" w:hAnsi="Times New Roman" w:eastAsia="方正仿宋_GBK"/>
        </w:rPr>
        <w:t>含外宾接待</w:t>
      </w:r>
      <w:r>
        <w:rPr>
          <w:rFonts w:hint="eastAsia" w:ascii="Times New Roman" w:hAnsi="Times New Roman" w:eastAsia="方正仿宋_GBK"/>
        </w:rPr>
        <w:t>）</w:t>
      </w:r>
      <w:r>
        <w:rPr>
          <w:rFonts w:ascii="Times New Roman" w:hAnsi="Times New Roman" w:eastAsia="方正仿宋_GBK"/>
        </w:rPr>
        <w:t>支出。</w:t>
      </w:r>
    </w:p>
    <w:p w14:paraId="6A1535A4">
      <w:pPr>
        <w:ind w:firstLine="640" w:firstLineChars="200"/>
        <w:rPr>
          <w:rFonts w:ascii="Times New Roman" w:hAnsi="Times New Roman" w:eastAsia="方正仿宋_GBK"/>
        </w:rPr>
      </w:pPr>
      <w:r>
        <w:rPr>
          <w:rFonts w:ascii="Times New Roman" w:hAnsi="Times New Roman" w:eastAsia="方正仿宋_GBK"/>
        </w:rPr>
        <w:t>机关运行经费：指各部门的公用经费（包含所有单位的公用经费及行政</w:t>
      </w:r>
      <w:r>
        <w:rPr>
          <w:rFonts w:hint="eastAsia" w:ascii="Times New Roman" w:hAnsi="Times New Roman" w:eastAsia="方正仿宋_GBK"/>
        </w:rPr>
        <w:t>（</w:t>
      </w:r>
      <w:r>
        <w:rPr>
          <w:rFonts w:ascii="Times New Roman" w:hAnsi="Times New Roman" w:eastAsia="方正仿宋_GBK"/>
        </w:rPr>
        <w:t>参公</w:t>
      </w:r>
      <w:r>
        <w:rPr>
          <w:rFonts w:hint="eastAsia" w:ascii="Times New Roman" w:hAnsi="Times New Roman" w:eastAsia="方正仿宋_GBK"/>
        </w:rPr>
        <w:t>）</w:t>
      </w:r>
      <w:r>
        <w:rPr>
          <w:rFonts w:ascii="Times New Roman" w:hAnsi="Times New Roman" w:eastAsia="方正仿宋_GBK"/>
        </w:rPr>
        <w:t>单位的运转类项目经费</w:t>
      </w:r>
      <w:r>
        <w:rPr>
          <w:rFonts w:hint="eastAsia" w:ascii="Times New Roman" w:hAnsi="Times New Roman" w:eastAsia="方正仿宋_GBK"/>
        </w:rPr>
        <w:t>）</w:t>
      </w:r>
      <w:r>
        <w:rPr>
          <w:rFonts w:ascii="Times New Roman" w:hAnsi="Times New Roman" w:eastAsia="方正仿宋_GBK"/>
        </w:rPr>
        <w:t>，包括办公及印刷费、邮电费、差旅费、会议费、福利费、</w:t>
      </w:r>
      <w:r>
        <w:rPr>
          <w:rFonts w:hint="eastAsia" w:ascii="Times New Roman" w:hAnsi="Times New Roman" w:eastAsia="方正仿宋_GBK"/>
        </w:rPr>
        <w:t>日常</w:t>
      </w:r>
      <w:r>
        <w:rPr>
          <w:rFonts w:ascii="Times New Roman" w:hAnsi="Times New Roman" w:eastAsia="方正仿宋_GBK"/>
        </w:rPr>
        <w:t>维修费、专用材料及一般设备购置费、办公用房水电费、办公用房取暖费、办公用房物业管理费、公务用车运行维护费以及其他费用。</w:t>
      </w:r>
    </w:p>
    <w:p w14:paraId="32394774">
      <w:pPr>
        <w:ind w:firstLine="640" w:firstLineChars="200"/>
        <w:rPr>
          <w:rFonts w:ascii="Times New Roman" w:hAnsi="Times New Roman" w:eastAsia="方正仿宋_GBK"/>
        </w:rPr>
      </w:pPr>
      <w:r>
        <w:rPr>
          <w:rFonts w:ascii="Times New Roman" w:hAnsi="Times New Roman" w:eastAsia="方正仿宋_GBK"/>
        </w:rPr>
        <w:t>卫生健康支出：</w:t>
      </w:r>
      <w:r>
        <w:rPr>
          <w:rFonts w:hint="eastAsia" w:ascii="Times New Roman" w:hAnsi="Times New Roman" w:eastAsia="方正仿宋_GBK"/>
        </w:rPr>
        <w:t>反映</w:t>
      </w:r>
      <w:r>
        <w:rPr>
          <w:rFonts w:ascii="Times New Roman" w:hAnsi="Times New Roman" w:eastAsia="方正仿宋_GBK"/>
        </w:rPr>
        <w:t>财政部门安排的行政单位</w:t>
      </w:r>
      <w:r>
        <w:rPr>
          <w:rFonts w:hint="eastAsia" w:ascii="Times New Roman" w:hAnsi="Times New Roman" w:eastAsia="方正仿宋_GBK"/>
        </w:rPr>
        <w:t>（包括实行公务员管理的事业单位）基本医疗保险缴费经费，未参加医疗保险的行政单位的公费医疗经费。</w:t>
      </w:r>
    </w:p>
    <w:p w14:paraId="2917E5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E82A59-EA90-47B3-ABC0-EBF84930D8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10" w:usb3="00000000" w:csb0="00040000" w:csb1="00000000"/>
    <w:embedRegular r:id="rId2" w:fontKey="{79B49BB2-4BB6-4071-A539-F68FAC42BE58}"/>
  </w:font>
  <w:font w:name="方正小标宋简体">
    <w:altName w:val="黑体"/>
    <w:panose1 w:val="00000000000000000000"/>
    <w:charset w:val="86"/>
    <w:family w:val="auto"/>
    <w:pitch w:val="default"/>
    <w:sig w:usb0="00000000" w:usb1="00000000" w:usb2="00000010" w:usb3="00000000" w:csb0="00040000" w:csb1="00000000"/>
    <w:embedRegular r:id="rId3" w:fontKey="{7D9E81C6-7F70-49E9-9249-C75E286FACEE}"/>
  </w:font>
  <w:font w:name="方正仿宋_GBK">
    <w:panose1 w:val="02000000000000000000"/>
    <w:charset w:val="86"/>
    <w:family w:val="script"/>
    <w:pitch w:val="default"/>
    <w:sig w:usb0="A00002BF" w:usb1="38CF7CFA" w:usb2="00082016" w:usb3="00000000" w:csb0="00040001" w:csb1="00000000"/>
    <w:embedRegular r:id="rId4" w:fontKey="{09409B0B-51AE-4650-B365-AD68308A7043}"/>
  </w:font>
  <w:font w:name="方正黑体">
    <w:altName w:val="黑体"/>
    <w:panose1 w:val="00000000000000000000"/>
    <w:charset w:val="86"/>
    <w:family w:val="script"/>
    <w:pitch w:val="default"/>
    <w:sig w:usb0="00000000" w:usb1="00000000" w:usb2="00000010" w:usb3="00000000" w:csb0="00040000" w:csb1="00000000"/>
    <w:embedRegular r:id="rId5" w:fontKey="{9F5AA674-BF33-4722-95C4-8A1E09F8721F}"/>
  </w:font>
  <w:font w:name="楷体_GB2312">
    <w:altName w:val="楷体"/>
    <w:panose1 w:val="00000000000000000000"/>
    <w:charset w:val="86"/>
    <w:family w:val="modern"/>
    <w:pitch w:val="default"/>
    <w:sig w:usb0="00000000" w:usb1="00000000" w:usb2="00000010" w:usb3="00000000" w:csb0="00040000" w:csb1="00000000"/>
    <w:embedRegular r:id="rId6" w:fontKey="{31E8F3FA-38D7-4447-8038-57E932F6CA02}"/>
  </w:font>
  <w:font w:name="方正楷体_GBK">
    <w:altName w:val="微软雅黑"/>
    <w:panose1 w:val="00000000000000000000"/>
    <w:charset w:val="86"/>
    <w:family w:val="script"/>
    <w:pitch w:val="default"/>
    <w:sig w:usb0="00000000" w:usb1="00000000" w:usb2="00000010" w:usb3="00000000" w:csb0="00040000" w:csb1="00000000"/>
    <w:embedRegular r:id="rId7" w:fontKey="{AE81DA8B-D76F-4041-8E22-F4F95AD663E6}"/>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9175A"/>
    <w:multiLevelType w:val="singleLevel"/>
    <w:tmpl w:val="F0B9175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3YTEwZDkyMTM4OGExODA0MGViZDRmMmE0OTBlMjQifQ=="/>
  </w:docVars>
  <w:rsids>
    <w:rsidRoot w:val="00D16ABB"/>
    <w:rsid w:val="00094867"/>
    <w:rsid w:val="00126B6E"/>
    <w:rsid w:val="001B4699"/>
    <w:rsid w:val="005249CE"/>
    <w:rsid w:val="0053135F"/>
    <w:rsid w:val="005D6610"/>
    <w:rsid w:val="006E77A0"/>
    <w:rsid w:val="00703879"/>
    <w:rsid w:val="00A06CA5"/>
    <w:rsid w:val="00B46A97"/>
    <w:rsid w:val="00B72C2B"/>
    <w:rsid w:val="00BE5A1C"/>
    <w:rsid w:val="00BF04FC"/>
    <w:rsid w:val="00C241A1"/>
    <w:rsid w:val="00D118F8"/>
    <w:rsid w:val="00D16ABB"/>
    <w:rsid w:val="00E02066"/>
    <w:rsid w:val="00E02942"/>
    <w:rsid w:val="00E63E2E"/>
    <w:rsid w:val="00EA4EE7"/>
    <w:rsid w:val="00F22842"/>
    <w:rsid w:val="00FE79F6"/>
    <w:rsid w:val="01C400A1"/>
    <w:rsid w:val="02161AB8"/>
    <w:rsid w:val="026746C6"/>
    <w:rsid w:val="03325D26"/>
    <w:rsid w:val="046A3FD7"/>
    <w:rsid w:val="04FA4B16"/>
    <w:rsid w:val="065F0BEE"/>
    <w:rsid w:val="069C62F3"/>
    <w:rsid w:val="06EF02EB"/>
    <w:rsid w:val="09D039D6"/>
    <w:rsid w:val="09D27E0F"/>
    <w:rsid w:val="0AB87005"/>
    <w:rsid w:val="0CCD397D"/>
    <w:rsid w:val="0E2815AF"/>
    <w:rsid w:val="120E7E53"/>
    <w:rsid w:val="1AEB26BE"/>
    <w:rsid w:val="1D247B2E"/>
    <w:rsid w:val="1ED02718"/>
    <w:rsid w:val="23CE7442"/>
    <w:rsid w:val="24100E70"/>
    <w:rsid w:val="253D662D"/>
    <w:rsid w:val="25AE12D9"/>
    <w:rsid w:val="26581242"/>
    <w:rsid w:val="28101DD7"/>
    <w:rsid w:val="2CB6618B"/>
    <w:rsid w:val="2F4D2D9E"/>
    <w:rsid w:val="30F37FE5"/>
    <w:rsid w:val="33C86A7F"/>
    <w:rsid w:val="381E409C"/>
    <w:rsid w:val="387C683B"/>
    <w:rsid w:val="3A7F514B"/>
    <w:rsid w:val="3B08520F"/>
    <w:rsid w:val="3BE23632"/>
    <w:rsid w:val="3D4A5478"/>
    <w:rsid w:val="3F147E46"/>
    <w:rsid w:val="40240823"/>
    <w:rsid w:val="42060D68"/>
    <w:rsid w:val="42127FFC"/>
    <w:rsid w:val="421E1EBE"/>
    <w:rsid w:val="427A45C5"/>
    <w:rsid w:val="42A549FC"/>
    <w:rsid w:val="450C780B"/>
    <w:rsid w:val="47462CC7"/>
    <w:rsid w:val="4AC5484B"/>
    <w:rsid w:val="4B313C8F"/>
    <w:rsid w:val="50DF1FDF"/>
    <w:rsid w:val="55357DC1"/>
    <w:rsid w:val="55F36710"/>
    <w:rsid w:val="574C257C"/>
    <w:rsid w:val="579637F7"/>
    <w:rsid w:val="581133C2"/>
    <w:rsid w:val="58156E12"/>
    <w:rsid w:val="5C5D1E28"/>
    <w:rsid w:val="5CAB0EDE"/>
    <w:rsid w:val="5D795A4C"/>
    <w:rsid w:val="608A1CA8"/>
    <w:rsid w:val="60DC4818"/>
    <w:rsid w:val="613B1842"/>
    <w:rsid w:val="638A155C"/>
    <w:rsid w:val="652C29F5"/>
    <w:rsid w:val="660951F0"/>
    <w:rsid w:val="69C935B8"/>
    <w:rsid w:val="6F33155C"/>
    <w:rsid w:val="711C2B67"/>
    <w:rsid w:val="713003C1"/>
    <w:rsid w:val="71460F4D"/>
    <w:rsid w:val="76024985"/>
    <w:rsid w:val="77B27C24"/>
    <w:rsid w:val="783B5CDE"/>
    <w:rsid w:val="7A392094"/>
    <w:rsid w:val="7CA67789"/>
    <w:rsid w:val="7CE0713F"/>
    <w:rsid w:val="7CFB3C80"/>
    <w:rsid w:val="7D250FF6"/>
    <w:rsid w:val="7EEB1B76"/>
    <w:rsid w:val="7EFB3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 w:cs="Times New Roman"/>
      <w:kern w:val="2"/>
      <w:sz w:val="32"/>
      <w:szCs w:val="32"/>
      <w:lang w:val="en-US" w:eastAsia="zh-CN" w:bidi="ar-SA"/>
    </w:rPr>
  </w:style>
  <w:style w:type="paragraph" w:styleId="2">
    <w:name w:val="heading 3"/>
    <w:basedOn w:val="1"/>
    <w:next w:val="1"/>
    <w:link w:val="9"/>
    <w:unhideWhenUsed/>
    <w:qFormat/>
    <w:uiPriority w:val="0"/>
    <w:pPr>
      <w:keepNext/>
      <w:keepLines/>
      <w:spacing w:before="260" w:after="260" w:line="416" w:lineRule="auto"/>
      <w:outlineLvl w:val="2"/>
    </w:pPr>
    <w:rPr>
      <w:b/>
      <w:bCs/>
      <w:lang w:val="zh-CN"/>
    </w:rPr>
  </w:style>
  <w:style w:type="paragraph" w:styleId="3">
    <w:name w:val="heading 4"/>
    <w:basedOn w:val="1"/>
    <w:next w:val="1"/>
    <w:link w:val="10"/>
    <w:unhideWhenUsed/>
    <w:qFormat/>
    <w:uiPriority w:val="0"/>
    <w:pPr>
      <w:keepNext/>
      <w:keepLines/>
      <w:spacing w:before="280" w:after="290" w:line="376" w:lineRule="auto"/>
      <w:outlineLvl w:val="3"/>
    </w:pPr>
    <w:rPr>
      <w:rFonts w:ascii="Cambria" w:hAnsi="Cambria" w:eastAsia="宋体"/>
      <w:b/>
      <w:bCs/>
      <w:sz w:val="28"/>
      <w:szCs w:val="28"/>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character" w:customStyle="1" w:styleId="9">
    <w:name w:val="标题 3 Char"/>
    <w:basedOn w:val="8"/>
    <w:link w:val="2"/>
    <w:qFormat/>
    <w:uiPriority w:val="0"/>
    <w:rPr>
      <w:rFonts w:ascii="Calibri" w:hAnsi="Calibri" w:eastAsia="方正仿宋" w:cs="Times New Roman"/>
      <w:b/>
      <w:bCs/>
      <w:sz w:val="32"/>
      <w:szCs w:val="32"/>
      <w:lang w:val="zh-CN" w:eastAsia="zh-CN"/>
    </w:rPr>
  </w:style>
  <w:style w:type="character" w:customStyle="1" w:styleId="10">
    <w:name w:val="标题 4 Char"/>
    <w:basedOn w:val="8"/>
    <w:link w:val="3"/>
    <w:qFormat/>
    <w:uiPriority w:val="0"/>
    <w:rPr>
      <w:rFonts w:ascii="Cambria" w:hAnsi="Cambria" w:eastAsia="宋体" w:cs="Times New Roman"/>
      <w:b/>
      <w:bCs/>
      <w:sz w:val="28"/>
      <w:szCs w:val="28"/>
      <w:lang w:val="zh-CN" w:eastAsia="zh-CN"/>
    </w:rPr>
  </w:style>
  <w:style w:type="paragraph" w:customStyle="1" w:styleId="11">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2">
    <w:name w:val="页眉 Char"/>
    <w:basedOn w:val="8"/>
    <w:link w:val="5"/>
    <w:semiHidden/>
    <w:qFormat/>
    <w:uiPriority w:val="99"/>
    <w:rPr>
      <w:rFonts w:ascii="Calibri" w:hAnsi="Calibri" w:eastAsia="方正仿宋"/>
      <w:kern w:val="2"/>
      <w:sz w:val="18"/>
      <w:szCs w:val="18"/>
    </w:rPr>
  </w:style>
  <w:style w:type="character" w:customStyle="1" w:styleId="13">
    <w:name w:val="页脚 Char"/>
    <w:basedOn w:val="8"/>
    <w:link w:val="4"/>
    <w:semiHidden/>
    <w:qFormat/>
    <w:uiPriority w:val="99"/>
    <w:rPr>
      <w:rFonts w:ascii="Calibri" w:hAnsi="Calibri" w:eastAsia="方正仿宋"/>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12</Pages>
  <Words>4952</Words>
  <Characters>5334</Characters>
  <Lines>38</Lines>
  <Paragraphs>10</Paragraphs>
  <TotalTime>0</TotalTime>
  <ScaleCrop>false</ScaleCrop>
  <LinksUpToDate>false</LinksUpToDate>
  <CharactersWithSpaces>5341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2024-01-22T08:06:00Z</dcterms:created>
  <dc:creator>王  楠</dc:creator>
  <cp:lastModifiedBy>闵欣艺</cp:lastModifiedBy>
  <dcterms:modified xsi:type="dcterms:W3CDTF">2025-01-21T09:58:06Z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AD744FD4EAC343EA813D86BD280360C4_12</vt:lpwstr>
  </property>
  <property fmtid="{D5CDD505-2E9C-101B-9397-08002B2CF9AE}" pid="4" name="KSOTemplateDocerSaveRecord">
    <vt:lpwstr>eyJoZGlkIjoiYmQxNTAwNTM5ODBlMTc5OThkZDYwMDBiMzI2NWQxNmQiLCJ1c2VySWQiOiI3NTUxNzY0NTkifQ==</vt:lpwstr>
  </property>
</Properties>
</file>