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方正黑体_GBK"/>
          <w:kern w:val="0"/>
        </w:rPr>
      </w:pPr>
      <w:r>
        <w:rPr>
          <w:rFonts w:ascii="Times New Roman" w:hAnsi="Times New Roman" w:eastAsia="方正黑体_GBK"/>
          <w:kern w:val="0"/>
        </w:rPr>
        <w:t>附件1</w:t>
      </w:r>
    </w:p>
    <w:p>
      <w:pPr>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目　　录</w:t>
      </w:r>
    </w:p>
    <w:p>
      <w:pPr>
        <w:snapToGrid w:val="0"/>
        <w:spacing w:line="600" w:lineRule="exact"/>
        <w:jc w:val="center"/>
        <w:rPr>
          <w:rFonts w:ascii="Times New Roman" w:hAnsi="Times New Roman" w:eastAsia="方正小标宋简体"/>
          <w:sz w:val="44"/>
          <w:szCs w:val="44"/>
        </w:rPr>
      </w:pPr>
    </w:p>
    <w:p>
      <w:pPr>
        <w:rPr>
          <w:rFonts w:ascii="方正黑体_GBK" w:hAnsi="Times New Roman" w:eastAsia="方正黑体_GBK"/>
        </w:rPr>
      </w:pPr>
      <w:r>
        <w:rPr>
          <w:rFonts w:hint="eastAsia" w:ascii="方正黑体_GBK" w:hAnsi="Times New Roman" w:eastAsia="方正黑体_GBK"/>
        </w:rPr>
        <w:t>第一部分 青羊区成都儿童专科医院部门</w:t>
      </w:r>
      <w:r>
        <w:rPr>
          <w:rFonts w:ascii="Times New Roman" w:hAnsi="Times New Roman" w:eastAsia="方正黑体_GBK"/>
        </w:rPr>
        <w:t>202</w:t>
      </w:r>
      <w:r>
        <w:rPr>
          <w:rFonts w:hint="eastAsia" w:ascii="Times New Roman" w:hAnsi="Times New Roman" w:eastAsia="方正黑体_GBK"/>
        </w:rPr>
        <w:t>4</w:t>
      </w:r>
      <w:r>
        <w:rPr>
          <w:rFonts w:ascii="方正黑体_GBK" w:hAnsi="Times New Roman" w:eastAsia="方正黑体_GBK"/>
        </w:rPr>
        <w:t>年部门预算说明</w:t>
      </w:r>
    </w:p>
    <w:p>
      <w:pPr>
        <w:tabs>
          <w:tab w:val="left" w:pos="6210"/>
        </w:tabs>
        <w:rPr>
          <w:rFonts w:ascii="方正黑体_GBK" w:hAnsi="Times New Roman" w:eastAsia="方正黑体_GBK"/>
        </w:rPr>
      </w:pPr>
      <w:r>
        <w:rPr>
          <w:rFonts w:hint="eastAsia" w:ascii="方正黑体_GBK" w:hAnsi="Times New Roman" w:eastAsia="方正黑体_GBK"/>
        </w:rPr>
        <w:t>第二部分 名词解释</w:t>
      </w:r>
      <w:r>
        <w:rPr>
          <w:rFonts w:ascii="方正黑体_GBK" w:hAnsi="Times New Roman" w:eastAsia="方正黑体_GBK"/>
        </w:rPr>
        <w:tab/>
      </w:r>
    </w:p>
    <w:p>
      <w:pPr>
        <w:rPr>
          <w:rFonts w:ascii="方正黑体_GBK" w:hAnsi="Times New Roman" w:eastAsia="方正黑体_GBK"/>
        </w:rPr>
      </w:pPr>
      <w:r>
        <w:rPr>
          <w:rFonts w:ascii="方正黑体_GBK" w:hAnsi="Times New Roman" w:eastAsia="方正黑体_GBK"/>
        </w:rPr>
        <w:t xml:space="preserve">第三部分 </w:t>
      </w:r>
      <w:r>
        <w:rPr>
          <w:rFonts w:hint="eastAsia" w:ascii="Times New Roman" w:hAnsi="Times New Roman" w:eastAsia="方正黑体_GBK"/>
        </w:rPr>
        <w:t>2024</w:t>
      </w:r>
      <w:r>
        <w:rPr>
          <w:rFonts w:hint="eastAsia" w:ascii="方正黑体_GBK" w:hAnsi="Times New Roman" w:eastAsia="方正黑体_GBK"/>
        </w:rPr>
        <w:t>年部门预算表</w:t>
      </w:r>
    </w:p>
    <w:p>
      <w:pPr>
        <w:rPr>
          <w:rFonts w:ascii="Times New Roman" w:hAnsi="Times New Roman" w:eastAsia="方正仿宋_GBK"/>
        </w:rPr>
      </w:pPr>
      <w:r>
        <w:rPr>
          <w:rFonts w:hint="eastAsia" w:ascii="Times New Roman" w:hAnsi="Times New Roman" w:eastAsia="方正仿宋_GBK"/>
        </w:rPr>
        <w:t>一、</w:t>
      </w:r>
      <w:r>
        <w:rPr>
          <w:rFonts w:ascii="Times New Roman" w:hAnsi="Times New Roman" w:eastAsia="方正仿宋_GBK"/>
        </w:rPr>
        <w:t>部门收支总表</w:t>
      </w:r>
    </w:p>
    <w:p>
      <w:pPr>
        <w:rPr>
          <w:rFonts w:ascii="Times New Roman" w:hAnsi="Times New Roman" w:eastAsia="方正仿宋_GBK"/>
        </w:rPr>
      </w:pPr>
      <w:r>
        <w:rPr>
          <w:rFonts w:hint="eastAsia" w:ascii="Times New Roman" w:hAnsi="Times New Roman" w:eastAsia="方正仿宋_GBK"/>
        </w:rPr>
        <w:t>二、</w:t>
      </w:r>
      <w:r>
        <w:rPr>
          <w:rFonts w:ascii="Times New Roman" w:hAnsi="Times New Roman" w:eastAsia="方正仿宋_GBK"/>
        </w:rPr>
        <w:t>部门收入总表</w:t>
      </w:r>
    </w:p>
    <w:p>
      <w:pPr>
        <w:rPr>
          <w:rFonts w:ascii="Times New Roman" w:hAnsi="Times New Roman" w:eastAsia="方正仿宋_GBK"/>
        </w:rPr>
      </w:pPr>
      <w:r>
        <w:rPr>
          <w:rFonts w:hint="eastAsia" w:ascii="Times New Roman" w:hAnsi="Times New Roman" w:eastAsia="方正仿宋_GBK"/>
        </w:rPr>
        <w:t>三、</w:t>
      </w:r>
      <w:r>
        <w:rPr>
          <w:rFonts w:ascii="Times New Roman" w:hAnsi="Times New Roman" w:eastAsia="方正仿宋_GBK"/>
        </w:rPr>
        <w:t>部门支出总表</w:t>
      </w:r>
    </w:p>
    <w:p>
      <w:pPr>
        <w:rPr>
          <w:rFonts w:ascii="Times New Roman" w:hAnsi="Times New Roman" w:eastAsia="方正仿宋_GBK"/>
        </w:rPr>
      </w:pPr>
      <w:r>
        <w:rPr>
          <w:rFonts w:hint="eastAsia" w:ascii="Times New Roman" w:hAnsi="Times New Roman" w:eastAsia="方正仿宋_GBK"/>
        </w:rPr>
        <w:t>四、</w:t>
      </w:r>
      <w:r>
        <w:rPr>
          <w:rFonts w:ascii="Times New Roman" w:hAnsi="Times New Roman" w:eastAsia="方正仿宋_GBK"/>
        </w:rPr>
        <w:t>财政拨款收支预算总表</w:t>
      </w:r>
    </w:p>
    <w:p>
      <w:pPr>
        <w:rPr>
          <w:rFonts w:ascii="Times New Roman" w:hAnsi="Times New Roman" w:eastAsia="方正仿宋_GBK"/>
        </w:rPr>
      </w:pPr>
      <w:r>
        <w:rPr>
          <w:rFonts w:hint="eastAsia" w:ascii="Times New Roman" w:hAnsi="Times New Roman" w:eastAsia="方正仿宋_GBK"/>
        </w:rPr>
        <w:t>五、财政拨款支出预算表（部门经济分类科目）</w:t>
      </w:r>
    </w:p>
    <w:p>
      <w:pPr>
        <w:rPr>
          <w:rFonts w:ascii="Times New Roman" w:hAnsi="Times New Roman" w:eastAsia="方正仿宋_GBK"/>
        </w:rPr>
      </w:pPr>
      <w:r>
        <w:rPr>
          <w:rFonts w:hint="eastAsia" w:ascii="Times New Roman" w:hAnsi="Times New Roman" w:eastAsia="方正仿宋_GBK"/>
        </w:rPr>
        <w:t>六、</w:t>
      </w:r>
      <w:r>
        <w:rPr>
          <w:rFonts w:ascii="Times New Roman" w:hAnsi="Times New Roman" w:eastAsia="方正仿宋_GBK"/>
        </w:rPr>
        <w:t>一般公共预算支出</w:t>
      </w:r>
      <w:r>
        <w:rPr>
          <w:rFonts w:hint="eastAsia" w:ascii="Times New Roman" w:hAnsi="Times New Roman" w:eastAsia="方正仿宋_GBK"/>
        </w:rPr>
        <w:t>预算</w:t>
      </w:r>
      <w:r>
        <w:rPr>
          <w:rFonts w:ascii="Times New Roman" w:hAnsi="Times New Roman" w:eastAsia="方正仿宋_GBK"/>
        </w:rPr>
        <w:t>表</w:t>
      </w:r>
    </w:p>
    <w:p>
      <w:pPr>
        <w:rPr>
          <w:rFonts w:ascii="Times New Roman" w:hAnsi="Times New Roman" w:eastAsia="方正仿宋_GBK"/>
        </w:rPr>
      </w:pPr>
      <w:r>
        <w:rPr>
          <w:rFonts w:hint="eastAsia" w:ascii="Times New Roman" w:hAnsi="Times New Roman" w:eastAsia="方正仿宋_GBK"/>
        </w:rPr>
        <w:t>七、</w:t>
      </w:r>
      <w:r>
        <w:rPr>
          <w:rFonts w:ascii="Times New Roman" w:hAnsi="Times New Roman" w:eastAsia="方正仿宋_GBK"/>
        </w:rPr>
        <w:t>一般公共预算基本支出预算表</w:t>
      </w:r>
    </w:p>
    <w:p>
      <w:pPr>
        <w:rPr>
          <w:rFonts w:ascii="Times New Roman" w:hAnsi="Times New Roman" w:eastAsia="方正仿宋_GBK"/>
        </w:rPr>
      </w:pPr>
      <w:r>
        <w:rPr>
          <w:rFonts w:hint="eastAsia" w:ascii="Times New Roman" w:hAnsi="Times New Roman" w:eastAsia="方正仿宋_GBK"/>
        </w:rPr>
        <w:t>八、</w:t>
      </w:r>
      <w:r>
        <w:rPr>
          <w:rFonts w:ascii="Times New Roman" w:hAnsi="Times New Roman" w:eastAsia="方正仿宋_GBK"/>
        </w:rPr>
        <w:t>一般公共预算项目支出预算表</w:t>
      </w:r>
    </w:p>
    <w:p>
      <w:pPr>
        <w:rPr>
          <w:rFonts w:ascii="Times New Roman" w:hAnsi="Times New Roman" w:eastAsia="方正仿宋_GBK"/>
        </w:rPr>
      </w:pPr>
      <w:r>
        <w:rPr>
          <w:rFonts w:hint="eastAsia" w:ascii="Times New Roman" w:hAnsi="Times New Roman" w:eastAsia="方正仿宋_GBK"/>
        </w:rPr>
        <w:t>九、</w:t>
      </w:r>
      <w:r>
        <w:rPr>
          <w:rFonts w:ascii="Times New Roman" w:hAnsi="Times New Roman" w:eastAsia="方正仿宋_GBK"/>
        </w:rPr>
        <w:t>一般公共预算“三公”经费支出预算表</w:t>
      </w:r>
    </w:p>
    <w:p>
      <w:pPr>
        <w:rPr>
          <w:rFonts w:ascii="Times New Roman" w:hAnsi="Times New Roman" w:eastAsia="方正仿宋_GBK"/>
        </w:rPr>
      </w:pPr>
      <w:r>
        <w:rPr>
          <w:rFonts w:hint="eastAsia" w:ascii="Times New Roman" w:hAnsi="Times New Roman" w:eastAsia="方正仿宋_GBK"/>
        </w:rPr>
        <w:t>十、</w:t>
      </w:r>
      <w:r>
        <w:rPr>
          <w:rFonts w:ascii="Times New Roman" w:hAnsi="Times New Roman" w:eastAsia="方正仿宋_GBK"/>
        </w:rPr>
        <w:t>政府性基金支出预算表</w:t>
      </w:r>
    </w:p>
    <w:p>
      <w:pPr>
        <w:rPr>
          <w:rFonts w:ascii="Times New Roman" w:hAnsi="Times New Roman" w:eastAsia="方正仿宋_GBK"/>
        </w:rPr>
      </w:pPr>
      <w:r>
        <w:rPr>
          <w:rFonts w:hint="eastAsia" w:ascii="Times New Roman" w:hAnsi="Times New Roman" w:eastAsia="方正仿宋_GBK"/>
        </w:rPr>
        <w:t>十一、</w:t>
      </w:r>
      <w:r>
        <w:rPr>
          <w:rFonts w:ascii="Times New Roman" w:hAnsi="Times New Roman" w:eastAsia="方正仿宋_GBK"/>
        </w:rPr>
        <w:t>政府性基金</w:t>
      </w:r>
      <w:r>
        <w:rPr>
          <w:rFonts w:hint="eastAsia" w:ascii="Times New Roman" w:hAnsi="Times New Roman" w:eastAsia="方正仿宋_GBK"/>
        </w:rPr>
        <w:t>“</w:t>
      </w:r>
      <w:r>
        <w:rPr>
          <w:rFonts w:ascii="Times New Roman" w:hAnsi="Times New Roman" w:eastAsia="方正仿宋_GBK"/>
        </w:rPr>
        <w:t>三公</w:t>
      </w:r>
      <w:r>
        <w:rPr>
          <w:rFonts w:hint="eastAsia" w:ascii="Times New Roman" w:hAnsi="Times New Roman" w:eastAsia="方正仿宋_GBK"/>
        </w:rPr>
        <w:t>”</w:t>
      </w:r>
      <w:r>
        <w:rPr>
          <w:rFonts w:ascii="Times New Roman" w:hAnsi="Times New Roman" w:eastAsia="方正仿宋_GBK"/>
        </w:rPr>
        <w:t>经费支出预算表</w:t>
      </w:r>
    </w:p>
    <w:p>
      <w:pPr>
        <w:rPr>
          <w:rFonts w:ascii="Times New Roman" w:hAnsi="Times New Roman" w:eastAsia="方正仿宋_GBK"/>
        </w:rPr>
      </w:pPr>
      <w:r>
        <w:rPr>
          <w:rFonts w:hint="eastAsia" w:ascii="Times New Roman" w:hAnsi="Times New Roman" w:eastAsia="方正仿宋_GBK"/>
        </w:rPr>
        <w:t>十二、</w:t>
      </w:r>
      <w:r>
        <w:rPr>
          <w:rFonts w:ascii="Times New Roman" w:hAnsi="Times New Roman" w:eastAsia="方正仿宋_GBK"/>
        </w:rPr>
        <w:t>国有资本经营预算支出预算表</w:t>
      </w:r>
    </w:p>
    <w:p>
      <w:pPr>
        <w:rPr>
          <w:rFonts w:ascii="Times New Roman" w:hAnsi="Times New Roman" w:eastAsia="方正仿宋_GBK"/>
        </w:rPr>
      </w:pPr>
      <w:r>
        <w:rPr>
          <w:rFonts w:hint="eastAsia" w:ascii="Times New Roman" w:hAnsi="Times New Roman" w:eastAsia="方正仿宋_GBK"/>
        </w:rPr>
        <w:t>十三、</w:t>
      </w:r>
      <w:r>
        <w:rPr>
          <w:rFonts w:ascii="Times New Roman" w:hAnsi="Times New Roman" w:eastAsia="方正仿宋_GBK"/>
        </w:rPr>
        <w:t>部门预算项目绩效目标申报表</w:t>
      </w:r>
    </w:p>
    <w:p>
      <w:pPr>
        <w:rPr>
          <w:rFonts w:ascii="Times New Roman" w:hAnsi="Times New Roman" w:eastAsia="方正仿宋_GBK"/>
        </w:rPr>
      </w:pPr>
      <w:r>
        <w:rPr>
          <w:rFonts w:hint="eastAsia" w:ascii="Times New Roman" w:hAnsi="Times New Roman" w:eastAsia="方正仿宋_GBK"/>
        </w:rPr>
        <w:t>十四、</w:t>
      </w:r>
      <w:r>
        <w:rPr>
          <w:rFonts w:ascii="Times New Roman" w:hAnsi="Times New Roman" w:eastAsia="方正仿宋_GBK"/>
        </w:rPr>
        <w:t>部门整体支出绩效目标表</w:t>
      </w:r>
    </w:p>
    <w:p>
      <w:pPr>
        <w:rPr>
          <w:rFonts w:ascii="Times New Roman" w:hAnsi="Times New Roman" w:eastAsia="方正仿宋_GBK"/>
        </w:rPr>
      </w:pPr>
    </w:p>
    <w:p>
      <w:pPr>
        <w:rPr>
          <w:rFonts w:ascii="Times New Roman" w:hAnsi="Times New Roman" w:eastAsia="方正仿宋_GBK"/>
        </w:rPr>
      </w:pPr>
    </w:p>
    <w:p>
      <w:pPr>
        <w:spacing w:line="560" w:lineRule="exact"/>
        <w:rPr>
          <w:rFonts w:ascii="Times New Roman" w:hAnsi="Times New Roman" w:eastAsia="方正黑体_GBK"/>
          <w:kern w:val="0"/>
        </w:rPr>
      </w:pPr>
      <w:r>
        <w:rPr>
          <w:rFonts w:hint="eastAsia" w:ascii="Times New Roman" w:hAnsi="Times New Roman" w:eastAsia="方正黑体_GBK"/>
          <w:kern w:val="0"/>
        </w:rPr>
        <w:t>附件</w:t>
      </w:r>
      <w:r>
        <w:rPr>
          <w:rFonts w:ascii="Times New Roman" w:hAnsi="Times New Roman" w:eastAsia="方正黑体_GBK"/>
          <w:kern w:val="0"/>
        </w:rPr>
        <w:t>2</w:t>
      </w:r>
    </w:p>
    <w:p>
      <w:pPr>
        <w:snapToGrid w:val="0"/>
        <w:spacing w:line="600" w:lineRule="exact"/>
        <w:jc w:val="center"/>
        <w:rPr>
          <w:rFonts w:ascii="Times New Roman" w:hAnsi="Times New Roman" w:eastAsia="方正小标宋简体"/>
          <w:sz w:val="44"/>
          <w:szCs w:val="44"/>
        </w:rPr>
      </w:pPr>
      <w:r>
        <w:rPr>
          <w:rFonts w:hint="eastAsia" w:ascii="Times New Roman" w:eastAsia="方正小标宋简体"/>
          <w:sz w:val="44"/>
          <w:szCs w:val="44"/>
        </w:rPr>
        <w:t>青羊区</w:t>
      </w:r>
      <w:r>
        <w:rPr>
          <w:rFonts w:hint="eastAsia" w:ascii="Times New Roman" w:hAnsi="Times New Roman" w:eastAsia="方正小标宋简体"/>
          <w:sz w:val="44"/>
          <w:szCs w:val="44"/>
        </w:rPr>
        <w:t>成都儿童专科医院</w:t>
      </w:r>
    </w:p>
    <w:p>
      <w:pPr>
        <w:snapToGrid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202</w:t>
      </w:r>
      <w:r>
        <w:rPr>
          <w:rFonts w:hint="eastAsia" w:ascii="Times New Roman" w:hAnsi="Times New Roman" w:eastAsia="方正小标宋简体"/>
          <w:sz w:val="44"/>
          <w:szCs w:val="44"/>
        </w:rPr>
        <w:t>4</w:t>
      </w:r>
      <w:r>
        <w:rPr>
          <w:rFonts w:ascii="Times New Roman" w:eastAsia="方正小标宋简体"/>
          <w:sz w:val="44"/>
          <w:szCs w:val="44"/>
        </w:rPr>
        <w:t>年部门预算说明</w:t>
      </w:r>
    </w:p>
    <w:p>
      <w:pPr>
        <w:spacing w:line="554" w:lineRule="exact"/>
        <w:ind w:firstLine="640" w:firstLineChars="200"/>
        <w:rPr>
          <w:rFonts w:ascii="Times New Roman" w:hAnsi="Times New Roman" w:eastAsia="方正黑体"/>
        </w:rPr>
      </w:pP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一、基本职能及主要工作</w:t>
      </w:r>
    </w:p>
    <w:p>
      <w:pPr>
        <w:spacing w:line="560" w:lineRule="exact"/>
        <w:ind w:firstLine="640" w:firstLineChars="200"/>
        <w:rPr>
          <w:rFonts w:ascii="Times New Roman" w:hAnsi="Times New Roman" w:eastAsia="楷体_GB2312"/>
        </w:rPr>
      </w:pPr>
      <w:r>
        <w:rPr>
          <w:rFonts w:hint="eastAsia" w:ascii="Times New Roman" w:hAnsi="Times New Roman" w:eastAsia="方正楷体_GBK"/>
        </w:rPr>
        <w:t>（一）基本职能</w:t>
      </w:r>
    </w:p>
    <w:p>
      <w:pPr>
        <w:ind w:firstLine="560" w:firstLineChars="200"/>
        <w:rPr>
          <w:rFonts w:ascii="Times New Roman" w:hAnsi="Times New Roman" w:eastAsia="楷体_GB2312"/>
        </w:rPr>
      </w:pPr>
      <w:r>
        <w:rPr>
          <w:rFonts w:hint="eastAsia" w:ascii="宋体" w:hAnsi="宋体" w:eastAsia="宋体" w:cs="宋体"/>
          <w:sz w:val="28"/>
          <w:szCs w:val="28"/>
        </w:rPr>
        <w:t>成都儿童专科医院是政府举办的非营利性公立医院，集医疗、科研、教学、预防保健为一体的一所二级甲等儿童专科医院。医院现有青羊、成华两个院区，设有小儿呼吸内科、消化内科、神经内科、血液肾病、小儿外科、儿童预防保健、中医科、口腔科、眼-耳鼻喉科、皮肤科等22个临床专科和亚专业，是成都市青羊区儿科质量控制中心。医院现有在职职工340余人，拥有小儿呼吸内科、神经内科、血液肾病、中医、小儿外科、口腔科等专家队伍，多名专家担任国家、省市级医学会、各专委会委员及成都市儿科质控中心专家成员。医院现有编制床位206张，年门诊量30多万人次，年收治住院病人6000余人次。</w:t>
      </w:r>
    </w:p>
    <w:p>
      <w:pPr>
        <w:spacing w:line="560" w:lineRule="exact"/>
        <w:ind w:firstLine="640" w:firstLineChars="200"/>
        <w:rPr>
          <w:rFonts w:hint="eastAsia" w:ascii="Times New Roman" w:hAnsi="Times New Roman" w:eastAsia="方正楷体_GBK"/>
        </w:rPr>
      </w:pPr>
      <w:r>
        <w:rPr>
          <w:rFonts w:hint="eastAsia" w:ascii="Times New Roman" w:hAnsi="Times New Roman" w:eastAsia="方正楷体_GBK"/>
        </w:rPr>
        <w:t>（二）2024年重点工作</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全面提升医疗技术水平，满足患者多元化需求</w:t>
      </w:r>
    </w:p>
    <w:p>
      <w:pPr>
        <w:spacing w:line="560" w:lineRule="exact"/>
        <w:ind w:firstLine="560" w:firstLineChars="200"/>
        <w:rPr>
          <w:rFonts w:hint="eastAsia" w:asciiTheme="minorEastAsia" w:hAnsiTheme="minorEastAsia" w:eastAsiaTheme="minorEastAsia"/>
          <w:sz w:val="24"/>
          <w:szCs w:val="24"/>
        </w:rPr>
      </w:pPr>
      <w:r>
        <w:rPr>
          <w:rFonts w:hint="eastAsia" w:ascii="宋体" w:hAnsi="宋体" w:eastAsia="宋体" w:cs="宋体"/>
          <w:sz w:val="28"/>
          <w:szCs w:val="28"/>
        </w:rPr>
        <w:t>在2024年，我们将致力于提升医疗技术水平，以满足患者的多元化需求。我们将持续引进先进的医疗设备和技术，加强医疗人员的培训和学习，提高医疗服务的专业性和精准性。同时，我们将关注医疗技术的发展趋势，积极开展科研工作，推动医疗技术的创新和进步。</w:t>
      </w:r>
    </w:p>
    <w:p>
      <w:pPr>
        <w:spacing w:line="56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2、加强医疗质量控制，保障患者安全和权益</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医疗质量是医院工作的核心，保障患者安全权益是我们的首要任务。在2024年，我们将进一步加强医疗质量控制，建立完善的质量管理体系和监督机制。我们将严格遵守医疗规范和标准，加强对医疗服务的全程监控和评估，及时发现和解决医疗质量问题。同时，我们将积极开展医疗纠纷调解工作，维护患者的合法权益。</w:t>
      </w:r>
    </w:p>
    <w:p>
      <w:pPr>
        <w:spacing w:line="56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3、推进医疗信息化建设，提高医疗服务效率和质量</w:t>
      </w:r>
    </w:p>
    <w:p>
      <w:pPr>
        <w:spacing w:line="560" w:lineRule="exact"/>
        <w:ind w:firstLine="560" w:firstLineChars="200"/>
        <w:rPr>
          <w:rFonts w:hint="eastAsia" w:asciiTheme="minorEastAsia" w:hAnsiTheme="minorEastAsia" w:eastAsiaTheme="minorEastAsia"/>
          <w:sz w:val="24"/>
          <w:szCs w:val="24"/>
        </w:rPr>
      </w:pPr>
      <w:r>
        <w:rPr>
          <w:rFonts w:hint="eastAsia" w:ascii="宋体" w:hAnsi="宋体" w:eastAsia="宋体" w:cs="宋体"/>
          <w:sz w:val="28"/>
          <w:szCs w:val="28"/>
        </w:rPr>
        <w:t>随着信息化技术的快速发展，医疗信息化建设已成为提升医疗服务的重要手段。在2024年，我们将全面推进医疗信息化建设，建立完善的电子病历系统和医疗信息共享平台。通过数字化升级和智能化改造，提高医疗服务效率和质量。同时，我们将探索远程医疗、移动医疗等新型服务模式，为患者提供更加便捷、高效的医疗服务</w:t>
      </w:r>
      <w:r>
        <w:rPr>
          <w:rFonts w:hint="eastAsia" w:asciiTheme="minorEastAsia" w:hAnsiTheme="minorEastAsia" w:eastAsiaTheme="minorEastAsia"/>
          <w:sz w:val="24"/>
          <w:szCs w:val="24"/>
        </w:rPr>
        <w:t>。</w:t>
      </w:r>
    </w:p>
    <w:p>
      <w:pPr>
        <w:spacing w:line="56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4、推进就医环境优化建设</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我院为改善医院就诊环境，将对二楼门诊进行结构优化并装修改造；我院制剂室的扩建搬迁的启用和启用前的准备工作；我院创建儿童友好医院和绿色医院建设及节水型医院创建。</w:t>
      </w:r>
    </w:p>
    <w:p>
      <w:pPr>
        <w:spacing w:line="560" w:lineRule="exact"/>
        <w:ind w:firstLine="640" w:firstLineChars="200"/>
        <w:rPr>
          <w:rFonts w:ascii="Times New Roman" w:hAnsi="Times New Roman" w:eastAsia="方正黑体_GBK"/>
        </w:rPr>
      </w:pPr>
      <w:bookmarkStart w:id="0" w:name="_GoBack"/>
      <w:bookmarkEnd w:id="0"/>
      <w:r>
        <w:rPr>
          <w:rFonts w:ascii="Times New Roman" w:hAnsi="Times New Roman" w:eastAsia="方正黑体_GBK"/>
        </w:rPr>
        <w:t>二、</w:t>
      </w:r>
      <w:r>
        <w:rPr>
          <w:rFonts w:hint="eastAsia" w:ascii="Times New Roman" w:hAnsi="Times New Roman" w:eastAsia="方正黑体_GBK"/>
        </w:rPr>
        <w:t>部门预算</w:t>
      </w:r>
      <w:r>
        <w:rPr>
          <w:rFonts w:ascii="Times New Roman" w:hAnsi="Times New Roman" w:eastAsia="方正黑体_GBK"/>
        </w:rPr>
        <w:t>单位构成</w:t>
      </w:r>
    </w:p>
    <w:p>
      <w:pPr>
        <w:ind w:firstLine="560" w:firstLineChars="200"/>
        <w:rPr>
          <w:rFonts w:ascii="Times New Roman" w:hAnsi="Times New Roman" w:eastAsia="方正仿宋_GBK"/>
          <w:b/>
        </w:rPr>
      </w:pPr>
      <w:r>
        <w:rPr>
          <w:rFonts w:hint="eastAsia" w:ascii="宋体" w:hAnsi="宋体" w:eastAsia="宋体" w:cs="宋体"/>
          <w:sz w:val="28"/>
          <w:szCs w:val="28"/>
        </w:rPr>
        <w:t>本单位无此项</w:t>
      </w: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三、</w:t>
      </w:r>
      <w:r>
        <w:rPr>
          <w:rFonts w:ascii="Times New Roman" w:hAnsi="Times New Roman" w:eastAsia="方正黑体_GBK"/>
        </w:rPr>
        <w:t>202</w:t>
      </w:r>
      <w:r>
        <w:rPr>
          <w:rFonts w:hint="eastAsia" w:ascii="Times New Roman" w:hAnsi="Times New Roman" w:eastAsia="方正黑体_GBK"/>
        </w:rPr>
        <w:t>4</w:t>
      </w:r>
      <w:r>
        <w:rPr>
          <w:rFonts w:ascii="Times New Roman" w:eastAsia="方正黑体_GBK"/>
        </w:rPr>
        <w:t>年</w:t>
      </w:r>
      <w:r>
        <w:rPr>
          <w:rFonts w:hint="eastAsia" w:ascii="Times New Roman" w:hAnsi="Times New Roman" w:eastAsia="方正黑体_GBK"/>
        </w:rPr>
        <w:t>财政拨款收支预算情况的总体说明</w:t>
      </w:r>
    </w:p>
    <w:p>
      <w:pPr>
        <w:ind w:firstLine="560" w:firstLineChars="200"/>
        <w:rPr>
          <w:rFonts w:ascii="宋体" w:hAnsi="宋体" w:eastAsia="宋体" w:cs="宋体"/>
          <w:sz w:val="28"/>
          <w:szCs w:val="28"/>
        </w:rPr>
      </w:pPr>
      <w:r>
        <w:rPr>
          <w:rFonts w:hint="eastAsia" w:ascii="宋体" w:hAnsi="宋体" w:eastAsia="宋体" w:cs="宋体"/>
          <w:sz w:val="28"/>
          <w:szCs w:val="28"/>
        </w:rPr>
        <w:t>2024年财政拨款收支总预算1015.61万元。收入包括：一般公共预算当年拨款收入1015.61万元；支出包括：卫生健康支出卫生健康支出1015.61万元。</w:t>
      </w: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四、</w:t>
      </w:r>
      <w:r>
        <w:rPr>
          <w:rFonts w:ascii="Times New Roman" w:hAnsi="Times New Roman" w:eastAsia="方正黑体_GBK"/>
        </w:rPr>
        <w:t>202</w:t>
      </w:r>
      <w:r>
        <w:rPr>
          <w:rFonts w:hint="eastAsia" w:ascii="Times New Roman" w:hAnsi="Times New Roman" w:eastAsia="方正黑体_GBK"/>
        </w:rPr>
        <w:t>4</w:t>
      </w:r>
      <w:r>
        <w:rPr>
          <w:rFonts w:ascii="Times New Roman" w:eastAsia="方正黑体_GBK"/>
        </w:rPr>
        <w:t>年</w:t>
      </w:r>
      <w:r>
        <w:rPr>
          <w:rFonts w:hint="eastAsia" w:ascii="Times New Roman" w:hAnsi="Times New Roman" w:eastAsia="方正黑体_GBK"/>
        </w:rPr>
        <w:t>一般公共预算当年拨款情况说明</w:t>
      </w:r>
    </w:p>
    <w:p>
      <w:pPr>
        <w:spacing w:line="560" w:lineRule="exact"/>
        <w:ind w:firstLine="640" w:firstLineChars="200"/>
        <w:rPr>
          <w:rFonts w:ascii="Times New Roman" w:hAnsi="Times New Roman" w:eastAsia="方正楷体_GBK"/>
        </w:rPr>
      </w:pPr>
      <w:r>
        <w:rPr>
          <w:rFonts w:hint="eastAsia" w:ascii="Times New Roman" w:hAnsi="Times New Roman" w:eastAsia="方正楷体_GBK"/>
        </w:rPr>
        <w:t>（一）一般公共预算当年拨款规模变化情况</w:t>
      </w:r>
    </w:p>
    <w:p>
      <w:pPr>
        <w:ind w:firstLine="560" w:firstLineChars="200"/>
        <w:rPr>
          <w:rFonts w:ascii="宋体" w:hAnsi="宋体" w:eastAsia="宋体" w:cs="宋体"/>
          <w:sz w:val="28"/>
          <w:szCs w:val="28"/>
        </w:rPr>
      </w:pPr>
      <w:r>
        <w:rPr>
          <w:rFonts w:hint="eastAsia" w:ascii="宋体" w:hAnsi="宋体" w:eastAsia="宋体" w:cs="宋体"/>
          <w:sz w:val="28"/>
          <w:szCs w:val="28"/>
        </w:rPr>
        <w:t>成都儿童专科医院2024年一般公共预算当年拨款1015.61万元，比2023年预算数932.15万元增加83.46万元，增长8.95%，变动的主要原因是（1）国家政策原因引起的人员经费的增加，如薪级工资调整、护龄工资调整；（2）为切实提升应对突发重大公共卫生事件的能力，提高传染病防控能力，我院增加了发热门诊租赁费。</w:t>
      </w:r>
    </w:p>
    <w:p>
      <w:pPr>
        <w:spacing w:line="560" w:lineRule="exact"/>
        <w:ind w:firstLine="640" w:firstLineChars="200"/>
        <w:rPr>
          <w:rFonts w:ascii="Times New Roman" w:hAnsi="Times New Roman" w:eastAsia="方正楷体_GBK"/>
        </w:rPr>
      </w:pPr>
      <w:r>
        <w:rPr>
          <w:rFonts w:hint="eastAsia" w:ascii="Times New Roman" w:hAnsi="Times New Roman" w:eastAsia="方正楷体_GBK"/>
        </w:rPr>
        <w:t>（二）一般公共预算当年拨款结构情况</w:t>
      </w:r>
    </w:p>
    <w:p>
      <w:pPr>
        <w:ind w:firstLine="560" w:firstLineChars="200"/>
        <w:rPr>
          <w:rFonts w:ascii="宋体" w:hAnsi="宋体" w:eastAsia="宋体" w:cs="宋体"/>
          <w:sz w:val="28"/>
          <w:szCs w:val="28"/>
        </w:rPr>
      </w:pPr>
      <w:r>
        <w:rPr>
          <w:rFonts w:hint="eastAsia" w:ascii="宋体" w:hAnsi="宋体" w:eastAsia="宋体" w:cs="宋体"/>
          <w:sz w:val="28"/>
          <w:szCs w:val="28"/>
        </w:rPr>
        <w:t>卫生健康支出1015.61万元，占100%；其中，2100207-儿童医院1001.70万元，2101103-公务员医疗补助13.91万元。</w:t>
      </w:r>
    </w:p>
    <w:p>
      <w:pPr>
        <w:spacing w:line="560" w:lineRule="exact"/>
        <w:ind w:firstLine="640" w:firstLineChars="200"/>
        <w:rPr>
          <w:rFonts w:ascii="Times New Roman" w:hAnsi="Times New Roman" w:eastAsia="方正楷体_GBK"/>
        </w:rPr>
      </w:pPr>
      <w:r>
        <w:rPr>
          <w:rFonts w:hint="eastAsia" w:ascii="Times New Roman" w:hAnsi="Times New Roman" w:eastAsia="方正楷体_GBK"/>
        </w:rPr>
        <w:t>（三）一般公共预算当年拨款具体使用情况</w:t>
      </w:r>
    </w:p>
    <w:p>
      <w:pPr>
        <w:ind w:firstLine="560" w:firstLineChars="200"/>
        <w:rPr>
          <w:rFonts w:ascii="宋体" w:hAnsi="宋体" w:eastAsia="宋体" w:cs="宋体"/>
          <w:sz w:val="28"/>
          <w:szCs w:val="28"/>
        </w:rPr>
      </w:pPr>
      <w:r>
        <w:rPr>
          <w:rFonts w:hint="eastAsia" w:ascii="宋体" w:hAnsi="宋体" w:eastAsia="宋体" w:cs="宋体"/>
          <w:sz w:val="28"/>
          <w:szCs w:val="28"/>
        </w:rPr>
        <w:t>1．2100207-儿童医院预算数为1001.70万元，比2023年预算数918.59万元增加83.11万元，增长9.05%，变动的主要原因为：（1）国家政策原因引起的人员经费的增加，如薪级工资调整、护龄工资调整；（2）为切实提升应对突发重大公共卫生事件的能力，提高传染病防控能力，我院增加了发热门诊租赁费。</w:t>
      </w:r>
    </w:p>
    <w:p>
      <w:pPr>
        <w:ind w:firstLine="560" w:firstLineChars="200"/>
        <w:rPr>
          <w:rFonts w:ascii="宋体" w:hAnsi="宋体" w:eastAsia="宋体" w:cs="宋体"/>
          <w:sz w:val="28"/>
          <w:szCs w:val="28"/>
        </w:rPr>
      </w:pPr>
      <w:r>
        <w:rPr>
          <w:rFonts w:hint="eastAsia" w:ascii="宋体" w:hAnsi="宋体" w:eastAsia="宋体" w:cs="宋体"/>
          <w:sz w:val="28"/>
          <w:szCs w:val="28"/>
        </w:rPr>
        <w:t>2．2101103-公务员医疗补助预算数为13.91万元，比2023年预算数13.57万元增加0.34万元，增加2.51%，变动的主要原因是正编人员的增加。</w:t>
      </w: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五、</w:t>
      </w:r>
      <w:r>
        <w:rPr>
          <w:rFonts w:ascii="Times New Roman" w:hAnsi="Times New Roman" w:eastAsia="方正黑体_GBK"/>
        </w:rPr>
        <w:t>202</w:t>
      </w:r>
      <w:r>
        <w:rPr>
          <w:rFonts w:hint="eastAsia" w:ascii="Times New Roman" w:hAnsi="Times New Roman" w:eastAsia="方正黑体_GBK"/>
        </w:rPr>
        <w:t>4年一般公共预算基本支出情况说明</w:t>
      </w:r>
    </w:p>
    <w:p>
      <w:pPr>
        <w:ind w:firstLine="560" w:firstLineChars="200"/>
        <w:rPr>
          <w:rFonts w:ascii="Times New Roman" w:hAnsi="Times New Roman" w:eastAsia="宋体"/>
        </w:rPr>
      </w:pPr>
      <w:r>
        <w:rPr>
          <w:rFonts w:hint="eastAsia" w:ascii="宋体" w:hAnsi="宋体" w:eastAsia="宋体" w:cs="宋体"/>
          <w:sz w:val="28"/>
          <w:szCs w:val="28"/>
        </w:rPr>
        <w:t>成都儿童专科医院2024年一般公共预算基本支出889.58万元，其中：人员经费889.58万元，主要包括：基本工资、公务员医疗补助缴费。</w:t>
      </w: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六</w:t>
      </w:r>
      <w:r>
        <w:rPr>
          <w:rFonts w:ascii="Times New Roman" w:hAnsi="Times New Roman" w:eastAsia="方正黑体_GBK"/>
        </w:rPr>
        <w:t>、</w:t>
      </w:r>
      <w:r>
        <w:rPr>
          <w:rFonts w:hint="eastAsia" w:ascii="Times New Roman" w:hAnsi="Times New Roman" w:eastAsia="方正黑体_GBK"/>
        </w:rPr>
        <w:t>财政拨款安排</w:t>
      </w:r>
      <w:r>
        <w:rPr>
          <w:rFonts w:ascii="Times New Roman" w:hAnsi="Times New Roman" w:eastAsia="方正黑体_GBK"/>
        </w:rPr>
        <w:t>“三公”经费预算情况说明</w:t>
      </w:r>
    </w:p>
    <w:p>
      <w:pPr>
        <w:spacing w:line="560" w:lineRule="exact"/>
        <w:ind w:firstLine="640" w:firstLineChars="200"/>
        <w:rPr>
          <w:rFonts w:ascii="Times New Roman" w:hAnsi="Times New Roman" w:eastAsia="方正楷体_GBK"/>
        </w:rPr>
      </w:pPr>
      <w:r>
        <w:rPr>
          <w:rFonts w:ascii="Times New Roman" w:hAnsi="Times New Roman" w:eastAsia="方正楷体_GBK"/>
        </w:rPr>
        <w:t>（一）因公出国（境）经费</w:t>
      </w:r>
    </w:p>
    <w:p>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pPr>
        <w:spacing w:line="560" w:lineRule="exact"/>
        <w:ind w:firstLine="640" w:firstLineChars="200"/>
        <w:rPr>
          <w:rFonts w:ascii="Times New Roman" w:hAnsi="Times New Roman" w:eastAsia="方正楷体_GBK"/>
        </w:rPr>
      </w:pPr>
      <w:r>
        <w:rPr>
          <w:rFonts w:ascii="Times New Roman" w:hAnsi="Times New Roman" w:eastAsia="方正楷体_GBK"/>
        </w:rPr>
        <w:t>（二）公务接待费</w:t>
      </w:r>
    </w:p>
    <w:p>
      <w:pPr>
        <w:ind w:firstLine="560" w:firstLineChars="200"/>
        <w:rPr>
          <w:rFonts w:ascii="Times New Roman" w:hAnsi="Times New Roman" w:eastAsia="方正仿宋_GBK"/>
        </w:rPr>
      </w:pPr>
      <w:r>
        <w:rPr>
          <w:rFonts w:hint="eastAsia" w:ascii="宋体" w:hAnsi="宋体" w:eastAsia="宋体" w:cs="宋体"/>
          <w:sz w:val="28"/>
          <w:szCs w:val="28"/>
        </w:rPr>
        <w:t>本单位无此项</w:t>
      </w:r>
    </w:p>
    <w:p>
      <w:pPr>
        <w:spacing w:line="560" w:lineRule="exact"/>
        <w:ind w:firstLine="640" w:firstLineChars="200"/>
        <w:rPr>
          <w:rFonts w:ascii="Times New Roman" w:hAnsi="Times New Roman" w:eastAsia="方正楷体_GBK"/>
        </w:rPr>
      </w:pPr>
      <w:r>
        <w:rPr>
          <w:rFonts w:ascii="Times New Roman" w:hAnsi="Times New Roman" w:eastAsia="方正楷体_GBK"/>
        </w:rPr>
        <w:t>（三）公务用车购置及运行维护费</w:t>
      </w:r>
    </w:p>
    <w:p>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七、</w:t>
      </w:r>
      <w:r>
        <w:rPr>
          <w:rFonts w:ascii="Times New Roman" w:hAnsi="Times New Roman" w:eastAsia="方正黑体_GBK"/>
        </w:rPr>
        <w:t>202</w:t>
      </w:r>
      <w:r>
        <w:rPr>
          <w:rFonts w:hint="eastAsia" w:ascii="Times New Roman" w:hAnsi="Times New Roman" w:eastAsia="方正黑体_GBK"/>
        </w:rPr>
        <w:t>4年政府性基金预算收支及变化情况的说明</w:t>
      </w:r>
    </w:p>
    <w:p>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八</w:t>
      </w:r>
      <w:r>
        <w:rPr>
          <w:rFonts w:ascii="Times New Roman" w:hAnsi="Times New Roman" w:eastAsia="方正黑体_GBK"/>
        </w:rPr>
        <w:t>、202</w:t>
      </w:r>
      <w:r>
        <w:rPr>
          <w:rFonts w:hint="eastAsia" w:ascii="Times New Roman" w:hAnsi="Times New Roman" w:eastAsia="方正黑体_GBK"/>
        </w:rPr>
        <w:t>4年</w:t>
      </w:r>
      <w:r>
        <w:rPr>
          <w:rFonts w:ascii="Times New Roman" w:hAnsi="Times New Roman" w:eastAsia="方正黑体_GBK"/>
        </w:rPr>
        <w:t>预算收支</w:t>
      </w:r>
      <w:r>
        <w:rPr>
          <w:rFonts w:hint="eastAsia" w:ascii="Times New Roman" w:hAnsi="Times New Roman" w:eastAsia="方正黑体_GBK"/>
        </w:rPr>
        <w:t>及变化情况的总体</w:t>
      </w:r>
      <w:r>
        <w:rPr>
          <w:rFonts w:ascii="Times New Roman" w:hAnsi="Times New Roman" w:eastAsia="方正黑体_GBK"/>
        </w:rPr>
        <w:t>说明</w:t>
      </w:r>
    </w:p>
    <w:p>
      <w:pPr>
        <w:ind w:firstLine="560" w:firstLineChars="200"/>
        <w:rPr>
          <w:rFonts w:ascii="Times New Roman" w:eastAsia="方正仿宋_GBK"/>
        </w:rPr>
      </w:pPr>
      <w:r>
        <w:rPr>
          <w:rFonts w:hint="eastAsia" w:ascii="宋体" w:hAnsi="宋体" w:eastAsia="宋体" w:cs="宋体"/>
          <w:sz w:val="28"/>
          <w:szCs w:val="28"/>
        </w:rPr>
        <w:t>按照综合预算的原则，成都儿童专科医院所有收入和支出均纳入部门预算管理。收入包括：一般公共预算财政拨款收入、事业收入；支出包括：卫生健康支出。成都儿童专科医院2024年收支总预算17015.61万元，比2023年预算数13982.15万元增加3033.46万元，增长21.70%，变动的主要原因是2024年事业收入、事业支出预算增加。</w:t>
      </w: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九</w:t>
      </w:r>
      <w:r>
        <w:rPr>
          <w:rFonts w:ascii="Times New Roman" w:eastAsia="方正黑体_GBK"/>
        </w:rPr>
        <w:t>、</w:t>
      </w:r>
      <w:r>
        <w:rPr>
          <w:rFonts w:ascii="Times New Roman" w:hAnsi="Times New Roman" w:eastAsia="方正黑体_GBK"/>
        </w:rPr>
        <w:t>202</w:t>
      </w:r>
      <w:r>
        <w:rPr>
          <w:rFonts w:hint="eastAsia" w:ascii="Times New Roman" w:hAnsi="Times New Roman" w:eastAsia="方正黑体_GBK"/>
        </w:rPr>
        <w:t>4年收入预算情况说明</w:t>
      </w:r>
    </w:p>
    <w:p>
      <w:pPr>
        <w:ind w:firstLine="560" w:firstLineChars="200"/>
        <w:rPr>
          <w:rFonts w:ascii="Times New Roman" w:eastAsia="方正仿宋_GBK"/>
          <w:b/>
        </w:rPr>
      </w:pPr>
      <w:r>
        <w:rPr>
          <w:rFonts w:hint="eastAsia" w:ascii="宋体" w:hAnsi="宋体" w:eastAsia="宋体" w:cs="宋体"/>
          <w:sz w:val="28"/>
          <w:szCs w:val="28"/>
        </w:rPr>
        <w:t>成都儿童专科医院2024年收入预算17015.61万元，其中：一般公共预算拨款收入1015.61万元，占5.97%；事业收入16000万元，占94.03%。</w:t>
      </w: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十、</w:t>
      </w:r>
      <w:r>
        <w:rPr>
          <w:rFonts w:ascii="Times New Roman" w:hAnsi="Times New Roman" w:eastAsia="方正黑体_GBK"/>
        </w:rPr>
        <w:t>202</w:t>
      </w:r>
      <w:r>
        <w:rPr>
          <w:rFonts w:hint="eastAsia" w:ascii="Times New Roman" w:hAnsi="Times New Roman" w:eastAsia="方正黑体_GBK"/>
        </w:rPr>
        <w:t>4</w:t>
      </w:r>
      <w:r>
        <w:rPr>
          <w:rFonts w:ascii="Times New Roman" w:eastAsia="方正黑体_GBK"/>
        </w:rPr>
        <w:t>年</w:t>
      </w:r>
      <w:r>
        <w:rPr>
          <w:rFonts w:hint="eastAsia" w:ascii="Times New Roman" w:hAnsi="Times New Roman" w:eastAsia="方正黑体_GBK"/>
        </w:rPr>
        <w:t>支出预算情况说明</w:t>
      </w:r>
    </w:p>
    <w:p>
      <w:pPr>
        <w:ind w:firstLine="560" w:firstLineChars="200"/>
        <w:rPr>
          <w:rFonts w:ascii="宋体" w:hAnsi="宋体" w:eastAsia="宋体" w:cs="宋体"/>
          <w:sz w:val="28"/>
          <w:szCs w:val="28"/>
        </w:rPr>
      </w:pPr>
      <w:r>
        <w:rPr>
          <w:rFonts w:hint="eastAsia" w:ascii="宋体" w:hAnsi="宋体" w:eastAsia="宋体" w:cs="宋体"/>
          <w:sz w:val="28"/>
          <w:szCs w:val="28"/>
        </w:rPr>
        <w:t>2024年成都儿童专科医院预算本年支出总计17015.61万元，其中：基本支出预算889.58万元，占5.23%；部门项目支出预算16126.03万元，占94.77%。</w:t>
      </w:r>
    </w:p>
    <w:p>
      <w:pPr>
        <w:spacing w:line="560" w:lineRule="exact"/>
        <w:ind w:firstLine="640" w:firstLineChars="200"/>
        <w:rPr>
          <w:rFonts w:ascii="Times New Roman" w:hAnsi="Times New Roman" w:eastAsia="方正黑体_GBK"/>
        </w:rPr>
      </w:pPr>
      <w:r>
        <w:rPr>
          <w:rFonts w:hint="eastAsia" w:ascii="Times New Roman" w:hAnsi="Times New Roman" w:eastAsia="方正黑体_GBK"/>
        </w:rPr>
        <w:t>十一</w:t>
      </w:r>
      <w:r>
        <w:rPr>
          <w:rFonts w:ascii="Times New Roman" w:hAnsi="Times New Roman" w:eastAsia="方正黑体_GBK"/>
        </w:rPr>
        <w:t>、</w:t>
      </w:r>
      <w:r>
        <w:rPr>
          <w:rFonts w:hint="eastAsia" w:ascii="Times New Roman" w:hAnsi="Times New Roman" w:eastAsia="方正黑体_GBK"/>
        </w:rPr>
        <w:t>其他重要事项的情况说明</w:t>
      </w:r>
    </w:p>
    <w:p>
      <w:pPr>
        <w:spacing w:line="560" w:lineRule="exact"/>
        <w:ind w:firstLine="640" w:firstLineChars="200"/>
        <w:rPr>
          <w:rFonts w:ascii="Times New Roman" w:hAnsi="Times New Roman" w:eastAsia="方正楷体_GBK"/>
        </w:rPr>
      </w:pPr>
      <w:r>
        <w:rPr>
          <w:rFonts w:ascii="Times New Roman" w:hAnsi="Times New Roman" w:eastAsia="方正楷体_GBK"/>
        </w:rPr>
        <w:t>（一）机关运行经费</w:t>
      </w:r>
    </w:p>
    <w:p>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pPr>
        <w:spacing w:line="560" w:lineRule="exact"/>
        <w:ind w:firstLine="640" w:firstLineChars="200"/>
        <w:rPr>
          <w:rFonts w:ascii="Times New Roman" w:hAnsi="Times New Roman" w:eastAsia="方正楷体_GBK"/>
        </w:rPr>
      </w:pPr>
      <w:r>
        <w:rPr>
          <w:rFonts w:ascii="Times New Roman" w:hAnsi="Times New Roman" w:eastAsia="方正楷体_GBK"/>
        </w:rPr>
        <w:t>（二）政府采购情况</w:t>
      </w:r>
    </w:p>
    <w:p>
      <w:pPr>
        <w:ind w:firstLine="560" w:firstLineChars="200"/>
        <w:rPr>
          <w:rFonts w:ascii="宋体" w:hAnsi="宋体" w:eastAsia="宋体" w:cs="宋体"/>
          <w:sz w:val="28"/>
          <w:szCs w:val="28"/>
        </w:rPr>
      </w:pPr>
      <w:r>
        <w:rPr>
          <w:rFonts w:hint="eastAsia" w:ascii="宋体" w:hAnsi="宋体" w:eastAsia="宋体" w:cs="宋体"/>
          <w:sz w:val="28"/>
          <w:szCs w:val="28"/>
        </w:rPr>
        <w:t>2024年成都儿童专科医院政府采购预算总额956.31万元，其中：政府采购货物预算123.91万元、政府采购服务预算832.40万元。</w:t>
      </w:r>
    </w:p>
    <w:p>
      <w:pPr>
        <w:spacing w:line="560" w:lineRule="exact"/>
        <w:ind w:firstLine="640" w:firstLineChars="200"/>
        <w:rPr>
          <w:rFonts w:ascii="Times New Roman" w:hAnsi="Times New Roman" w:eastAsia="方正楷体_GBK"/>
        </w:rPr>
      </w:pPr>
      <w:r>
        <w:rPr>
          <w:rFonts w:ascii="Times New Roman" w:hAnsi="Times New Roman" w:eastAsia="方正楷体_GBK"/>
        </w:rPr>
        <w:t>（三）国有资产占有使用情况</w:t>
      </w:r>
    </w:p>
    <w:p>
      <w:pPr>
        <w:ind w:firstLine="560" w:firstLineChars="200"/>
        <w:rPr>
          <w:rFonts w:ascii="宋体" w:hAnsi="宋体" w:eastAsia="宋体" w:cs="宋体"/>
          <w:sz w:val="28"/>
          <w:szCs w:val="28"/>
        </w:rPr>
      </w:pPr>
      <w:r>
        <w:rPr>
          <w:rFonts w:hint="eastAsia" w:ascii="宋体" w:hAnsi="宋体" w:eastAsia="宋体" w:cs="宋体"/>
          <w:sz w:val="28"/>
          <w:szCs w:val="28"/>
        </w:rPr>
        <w:t>2024年，成都儿童专科医院共有车辆6辆，其中，一般公务用车3辆、一般执法执勤用车0辆、特种专业技术用车3辆。单位价值200万元以上大型设备1台。</w:t>
      </w:r>
    </w:p>
    <w:p>
      <w:pPr>
        <w:ind w:firstLine="560" w:firstLineChars="200"/>
        <w:rPr>
          <w:rFonts w:ascii="宋体" w:hAnsi="宋体" w:eastAsia="宋体" w:cs="宋体"/>
          <w:sz w:val="28"/>
          <w:szCs w:val="28"/>
        </w:rPr>
      </w:pPr>
      <w:r>
        <w:rPr>
          <w:rFonts w:hint="eastAsia" w:ascii="宋体" w:hAnsi="宋体" w:eastAsia="宋体" w:cs="宋体"/>
          <w:sz w:val="28"/>
          <w:szCs w:val="28"/>
        </w:rPr>
        <w:t>2024年成都儿童专科医院预算未安排购置车辆及单位价值200万元以上大型设备。</w:t>
      </w:r>
    </w:p>
    <w:p>
      <w:pPr>
        <w:spacing w:line="560" w:lineRule="exact"/>
        <w:ind w:firstLine="640" w:firstLineChars="200"/>
        <w:rPr>
          <w:rFonts w:ascii="Times New Roman" w:hAnsi="Times New Roman" w:eastAsia="方正楷体_GBK"/>
        </w:rPr>
      </w:pPr>
      <w:r>
        <w:rPr>
          <w:rFonts w:hint="eastAsia" w:ascii="Times New Roman" w:hAnsi="Times New Roman" w:eastAsia="方正楷体_GBK"/>
        </w:rPr>
        <w:t>（四）预算绩效管理情况</w:t>
      </w:r>
    </w:p>
    <w:p>
      <w:pPr>
        <w:ind w:firstLine="560" w:firstLineChars="200"/>
        <w:rPr>
          <w:rFonts w:ascii="宋体" w:hAnsi="宋体" w:eastAsia="宋体" w:cs="宋体"/>
          <w:sz w:val="28"/>
          <w:szCs w:val="28"/>
        </w:rPr>
      </w:pPr>
      <w:r>
        <w:rPr>
          <w:rFonts w:hint="eastAsia" w:ascii="宋体" w:hAnsi="宋体" w:eastAsia="宋体" w:cs="宋体"/>
          <w:sz w:val="28"/>
          <w:szCs w:val="28"/>
        </w:rPr>
        <w:t>2024年成都儿童专科医院实行绩效目标管理的项目5个，涉及预算16126.03万元，其中，一般公共预算126.03万元。</w:t>
      </w:r>
    </w:p>
    <w:p>
      <w:pPr>
        <w:numPr>
          <w:ilvl w:val="0"/>
          <w:numId w:val="1"/>
        </w:numPr>
        <w:spacing w:line="560" w:lineRule="exact"/>
        <w:ind w:firstLine="640" w:firstLineChars="200"/>
        <w:rPr>
          <w:rFonts w:ascii="Times New Roman" w:hAnsi="Times New Roman" w:eastAsia="方正楷体_GBK"/>
        </w:rPr>
      </w:pPr>
      <w:r>
        <w:rPr>
          <w:rFonts w:hint="eastAsia" w:ascii="Times New Roman" w:hAnsi="Times New Roman" w:eastAsia="方正楷体_GBK"/>
        </w:rPr>
        <w:t>重点项目预算的绩效目标情况说明</w:t>
      </w:r>
    </w:p>
    <w:p>
      <w:pPr>
        <w:spacing w:line="560" w:lineRule="exact"/>
        <w:ind w:firstLine="560" w:firstLineChars="200"/>
        <w:rPr>
          <w:rFonts w:ascii="Times New Roman" w:hAnsi="Times New Roman" w:eastAsia="方正黑体_GBK"/>
          <w:kern w:val="0"/>
        </w:rPr>
      </w:pPr>
      <w:r>
        <w:rPr>
          <w:rFonts w:hint="eastAsia" w:ascii="宋体" w:hAnsi="宋体" w:eastAsia="宋体" w:cs="宋体"/>
          <w:sz w:val="28"/>
          <w:szCs w:val="28"/>
        </w:rPr>
        <w:t>2024年成都儿童专科医院不涉及重点项目预算</w:t>
      </w:r>
      <w:r>
        <w:rPr>
          <w:rFonts w:ascii="Times New Roman" w:hAnsi="Times New Roman" w:eastAsia="方正仿宋_GBK"/>
        </w:rPr>
        <w:br w:type="page"/>
      </w:r>
      <w:r>
        <w:rPr>
          <w:rFonts w:ascii="Times New Roman" w:hAnsi="Times New Roman" w:eastAsia="方正黑体_GBK"/>
          <w:kern w:val="0"/>
        </w:rPr>
        <w:t>附件3</w:t>
      </w:r>
    </w:p>
    <w:p>
      <w:pPr>
        <w:rPr>
          <w:rFonts w:ascii="黑体" w:hAnsi="黑体" w:eastAsia="黑体"/>
          <w:kern w:val="0"/>
        </w:rPr>
      </w:pPr>
    </w:p>
    <w:p>
      <w:pPr>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青羊区成都儿童专科医院</w:t>
      </w:r>
    </w:p>
    <w:p>
      <w:pPr>
        <w:snapToGrid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202</w:t>
      </w:r>
      <w:r>
        <w:rPr>
          <w:rFonts w:hint="eastAsia" w:ascii="Times New Roman" w:hAnsi="Times New Roman" w:eastAsia="方正小标宋简体"/>
          <w:sz w:val="44"/>
          <w:szCs w:val="44"/>
        </w:rPr>
        <w:t>4</w:t>
      </w:r>
      <w:r>
        <w:rPr>
          <w:rFonts w:ascii="Times New Roman" w:hAnsi="Times New Roman" w:eastAsia="方正小标宋简体"/>
          <w:sz w:val="44"/>
          <w:szCs w:val="44"/>
        </w:rPr>
        <w:t>年部门预算</w:t>
      </w:r>
      <w:r>
        <w:rPr>
          <w:rFonts w:hint="eastAsia" w:ascii="Times New Roman" w:hAnsi="Times New Roman" w:eastAsia="方正小标宋简体"/>
          <w:sz w:val="44"/>
          <w:szCs w:val="44"/>
        </w:rPr>
        <w:t>名词解释</w:t>
      </w:r>
    </w:p>
    <w:p>
      <w:pPr>
        <w:ind w:firstLine="640" w:firstLineChars="200"/>
        <w:rPr>
          <w:rFonts w:ascii="Times New Roman" w:hAnsi="Times New Roman" w:eastAsia="方正黑体"/>
        </w:rPr>
      </w:pPr>
    </w:p>
    <w:p>
      <w:pPr>
        <w:ind w:firstLine="640" w:firstLineChars="200"/>
        <w:rPr>
          <w:rFonts w:ascii="Times New Roman" w:hAnsi="Times New Roman" w:eastAsia="方正仿宋_GBK"/>
        </w:rPr>
      </w:pPr>
      <w:r>
        <w:rPr>
          <w:rFonts w:hint="eastAsia" w:ascii="Times New Roman" w:hAnsi="Times New Roman" w:eastAsia="方正仿宋_GBK"/>
        </w:rPr>
        <w:t>财政拨款收入</w:t>
      </w:r>
      <w:r>
        <w:rPr>
          <w:rFonts w:ascii="Times New Roman" w:hAnsi="Times New Roman" w:eastAsia="方正仿宋_GBK"/>
        </w:rPr>
        <w:t>：指</w:t>
      </w:r>
      <w:r>
        <w:rPr>
          <w:rFonts w:hint="eastAsia" w:ascii="Times New Roman" w:hAnsi="Times New Roman" w:eastAsia="方正仿宋_GBK"/>
        </w:rPr>
        <w:t>区级</w:t>
      </w:r>
      <w:r>
        <w:rPr>
          <w:rFonts w:ascii="Times New Roman" w:hAnsi="Times New Roman" w:eastAsia="方正仿宋_GBK"/>
        </w:rPr>
        <w:t>财政当年拨付的资金。</w:t>
      </w:r>
    </w:p>
    <w:p>
      <w:pPr>
        <w:pStyle w:val="10"/>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事业收入：指事业单位开展专业业务活动及辅助活动取得的收入。如…（二级预算单位事业收入情况）等。</w:t>
      </w:r>
    </w:p>
    <w:p>
      <w:pPr>
        <w:pStyle w:val="10"/>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经营收入：指事业单位在专业业务活动及其辅助活动之外开展非独立核算经营活动取得的收入。如…（二级预算单位经营收入情况）等。</w:t>
      </w:r>
    </w:p>
    <w:p>
      <w:pPr>
        <w:pStyle w:val="10"/>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其他收入：指单位取得的除上述收入以外的各项收入。主要是…（收入类型）等。</w:t>
      </w:r>
    </w:p>
    <w:p>
      <w:pPr>
        <w:pStyle w:val="10"/>
        <w:topLinePunct/>
        <w:autoSpaceDE/>
        <w:autoSpaceDN/>
        <w:spacing w:line="54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使用非财政拨款结余：指事业单位使用以前年度积累的非财政拨款结余弥补当年收支差额的金额。</w:t>
      </w:r>
    </w:p>
    <w:p>
      <w:pPr>
        <w:pStyle w:val="10"/>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年初结转和结余：指以前年度尚未完成、结转到本年按有关规定继续使用的资金。</w:t>
      </w:r>
    </w:p>
    <w:p>
      <w:pPr>
        <w:pStyle w:val="10"/>
        <w:topLinePunct/>
        <w:autoSpaceDE/>
        <w:autoSpaceDN/>
        <w:spacing w:line="54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结余分配：指事业单位按照会计制度规定缴纳的所得税、提取的专用结余以及转入非财政拨款结余的金额等。</w:t>
      </w:r>
    </w:p>
    <w:p>
      <w:pPr>
        <w:pStyle w:val="10"/>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年末结转和结余：指单位按有关规定结转到下年或以后年度继续使用的资金。</w:t>
      </w:r>
    </w:p>
    <w:p>
      <w:pPr>
        <w:ind w:firstLine="640" w:firstLineChars="200"/>
        <w:rPr>
          <w:rFonts w:ascii="Times New Roman" w:hAnsi="Times New Roman" w:eastAsia="方正仿宋_GBK"/>
        </w:rPr>
      </w:pPr>
      <w:r>
        <w:rPr>
          <w:rFonts w:hint="eastAsia" w:ascii="Times New Roman" w:hAnsi="Times New Roman" w:eastAsia="方正仿宋_GBK"/>
        </w:rPr>
        <w:t>上年结转</w:t>
      </w:r>
      <w:r>
        <w:rPr>
          <w:rFonts w:ascii="Times New Roman" w:hAnsi="Times New Roman" w:eastAsia="方正仿宋_GBK"/>
        </w:rPr>
        <w:t>：指以前年度预算安排、因客观条件发生变化无法按原计划实施，</w:t>
      </w:r>
      <w:r>
        <w:rPr>
          <w:rFonts w:hint="eastAsia" w:ascii="Times New Roman" w:hAnsi="Times New Roman" w:eastAsia="方正仿宋_GBK"/>
        </w:rPr>
        <w:t>结转到</w:t>
      </w:r>
      <w:r>
        <w:rPr>
          <w:rFonts w:ascii="Times New Roman" w:hAnsi="Times New Roman" w:eastAsia="方正仿宋_GBK"/>
        </w:rPr>
        <w:t>本年按原规定用途继续使用的资金。</w:t>
      </w:r>
    </w:p>
    <w:p>
      <w:pPr>
        <w:ind w:firstLine="640" w:firstLineChars="200"/>
        <w:rPr>
          <w:rFonts w:ascii="Times New Roman" w:hAnsi="Times New Roman" w:eastAsia="方正仿宋_GBK"/>
        </w:rPr>
      </w:pPr>
      <w:r>
        <w:rPr>
          <w:rFonts w:ascii="Times New Roman" w:hAnsi="Times New Roman" w:eastAsia="方正仿宋_GBK"/>
        </w:rPr>
        <w:t>基本支出：指为保障机构正常运转、完成日常工作任务而发生的人员支出和公用支出。</w:t>
      </w:r>
    </w:p>
    <w:p>
      <w:pPr>
        <w:ind w:firstLine="640" w:firstLineChars="200"/>
        <w:rPr>
          <w:rFonts w:ascii="Times New Roman" w:hAnsi="Times New Roman" w:eastAsia="方正仿宋_GBK"/>
        </w:rPr>
      </w:pPr>
      <w:r>
        <w:rPr>
          <w:rFonts w:ascii="Times New Roman" w:hAnsi="Times New Roman" w:eastAsia="方正仿宋_GBK"/>
        </w:rPr>
        <w:t>项目支出：指在基本支出之外为完成特定行政任务和事业发展目标所发生的支出。</w:t>
      </w:r>
    </w:p>
    <w:p>
      <w:pPr>
        <w:pStyle w:val="10"/>
        <w:topLinePunct/>
        <w:autoSpaceDE/>
        <w:autoSpaceDN/>
        <w:spacing w:line="540" w:lineRule="exact"/>
        <w:ind w:firstLine="640" w:firstLineChars="200"/>
        <w:rPr>
          <w:rFonts w:ascii="Times New Roman" w:hAnsi="Times New Roman" w:eastAsia="方正仿宋_GBK"/>
        </w:rPr>
      </w:pPr>
      <w:r>
        <w:rPr>
          <w:rFonts w:ascii="Times New Roman" w:hAnsi="Times New Roman" w:eastAsia="方正仿宋_GBK" w:cs="Times New Roman"/>
          <w:sz w:val="32"/>
          <w:szCs w:val="32"/>
        </w:rPr>
        <w:t>经营支出：指事业单位在专业业务活动及其辅助活动之外开展非独立核算经营活动发生的支出。</w:t>
      </w:r>
    </w:p>
    <w:p>
      <w:pPr>
        <w:ind w:firstLine="640" w:firstLineChars="200"/>
        <w:rPr>
          <w:rFonts w:ascii="Times New Roman" w:hAnsi="Times New Roman" w:eastAsia="方正仿宋_GBK"/>
        </w:rPr>
      </w:pPr>
      <w:r>
        <w:rPr>
          <w:rFonts w:hint="eastAsia" w:ascii="Times New Roman" w:hAnsi="Times New Roman" w:eastAsia="方正仿宋_GBK"/>
        </w:rPr>
        <w:t>“</w:t>
      </w:r>
      <w:r>
        <w:rPr>
          <w:rFonts w:ascii="Times New Roman" w:hAnsi="Times New Roman" w:eastAsia="方正仿宋_GBK"/>
        </w:rPr>
        <w:t>三公</w:t>
      </w:r>
      <w:r>
        <w:rPr>
          <w:rFonts w:hint="eastAsia" w:ascii="Times New Roman" w:hAnsi="Times New Roman" w:eastAsia="方正仿宋_GBK"/>
        </w:rPr>
        <w:t>”</w:t>
      </w:r>
      <w:r>
        <w:rPr>
          <w:rFonts w:ascii="Times New Roman" w:hAnsi="Times New Roman" w:eastAsia="方正仿宋_GBK"/>
        </w:rPr>
        <w:t>经费：纳入财政预决算管理的</w:t>
      </w:r>
      <w:r>
        <w:rPr>
          <w:rFonts w:hint="eastAsia" w:ascii="Times New Roman" w:hAnsi="Times New Roman" w:eastAsia="方正仿宋_GBK"/>
        </w:rPr>
        <w:t>“</w:t>
      </w:r>
      <w:r>
        <w:rPr>
          <w:rFonts w:ascii="Times New Roman" w:hAnsi="Times New Roman" w:eastAsia="方正仿宋_GBK"/>
        </w:rPr>
        <w:t>三公</w:t>
      </w:r>
      <w:r>
        <w:rPr>
          <w:rFonts w:hint="eastAsia" w:ascii="Times New Roman" w:hAnsi="Times New Roman" w:eastAsia="方正仿宋_GBK"/>
        </w:rPr>
        <w:t>”</w:t>
      </w:r>
      <w:r>
        <w:rPr>
          <w:rFonts w:ascii="Times New Roman" w:hAnsi="Times New Roman" w:eastAsia="方正仿宋_GBK"/>
        </w:rPr>
        <w:t>经费，是指部门用财政拨款安排的因公出国</w:t>
      </w:r>
      <w:r>
        <w:rPr>
          <w:rFonts w:hint="eastAsia" w:ascii="Times New Roman" w:hAnsi="Times New Roman" w:eastAsia="方正仿宋_GBK"/>
        </w:rPr>
        <w:t>（境）</w:t>
      </w:r>
      <w:r>
        <w:rPr>
          <w:rFonts w:ascii="Times New Roman" w:hAnsi="Times New Roman" w:eastAsia="方正仿宋_GBK"/>
        </w:rPr>
        <w:t>费、公务用车购置及运行费和公务接待费。其中，因公出国</w:t>
      </w:r>
      <w:r>
        <w:rPr>
          <w:rFonts w:hint="eastAsia" w:ascii="Times New Roman" w:hAnsi="Times New Roman" w:eastAsia="方正仿宋_GBK"/>
        </w:rPr>
        <w:t>（境）</w:t>
      </w:r>
      <w:r>
        <w:rPr>
          <w:rFonts w:ascii="Times New Roman" w:hAnsi="Times New Roman" w:eastAsia="方正仿宋_GBK"/>
        </w:rPr>
        <w:t>费反映单位公务出国</w:t>
      </w:r>
      <w:r>
        <w:rPr>
          <w:rFonts w:hint="eastAsia" w:ascii="Times New Roman" w:hAnsi="Times New Roman" w:eastAsia="方正仿宋_GBK"/>
        </w:rPr>
        <w:t>（境）</w:t>
      </w:r>
      <w:r>
        <w:rPr>
          <w:rFonts w:ascii="Times New Roman" w:hAnsi="Times New Roman" w:eastAsia="方正仿宋_GBK"/>
        </w:rPr>
        <w:t>的国际旅费、国外城市间交通费、住宿费、伙食费、培训费、公杂费等支出；公务用车购置及运行费反映单位公务用车车辆购置支出</w:t>
      </w:r>
      <w:r>
        <w:rPr>
          <w:rFonts w:hint="eastAsia" w:ascii="Times New Roman" w:hAnsi="Times New Roman" w:eastAsia="方正仿宋_GBK"/>
        </w:rPr>
        <w:t>（</w:t>
      </w:r>
      <w:r>
        <w:rPr>
          <w:rFonts w:ascii="Times New Roman" w:hAnsi="Times New Roman" w:eastAsia="方正仿宋_GBK"/>
        </w:rPr>
        <w:t>含车辆购置税</w:t>
      </w:r>
      <w:r>
        <w:rPr>
          <w:rFonts w:hint="eastAsia" w:ascii="Times New Roman" w:hAnsi="Times New Roman" w:eastAsia="方正仿宋_GBK"/>
        </w:rPr>
        <w:t>）</w:t>
      </w:r>
      <w:r>
        <w:rPr>
          <w:rFonts w:ascii="Times New Roman" w:hAnsi="Times New Roman" w:eastAsia="方正仿宋_GBK"/>
        </w:rPr>
        <w:t>及租用费、燃料费、维修费、过路过桥费、保险费、安全奖励费用等支出；公务接待费反映单位按规定开支的各类公务接待</w:t>
      </w:r>
      <w:r>
        <w:rPr>
          <w:rFonts w:hint="eastAsia" w:ascii="Times New Roman" w:hAnsi="Times New Roman" w:eastAsia="方正仿宋_GBK"/>
        </w:rPr>
        <w:t>（</w:t>
      </w:r>
      <w:r>
        <w:rPr>
          <w:rFonts w:ascii="Times New Roman" w:hAnsi="Times New Roman" w:eastAsia="方正仿宋_GBK"/>
        </w:rPr>
        <w:t>含外宾接待</w:t>
      </w:r>
      <w:r>
        <w:rPr>
          <w:rFonts w:hint="eastAsia" w:ascii="Times New Roman" w:hAnsi="Times New Roman" w:eastAsia="方正仿宋_GBK"/>
        </w:rPr>
        <w:t>）</w:t>
      </w:r>
      <w:r>
        <w:rPr>
          <w:rFonts w:ascii="Times New Roman" w:hAnsi="Times New Roman" w:eastAsia="方正仿宋_GBK"/>
        </w:rPr>
        <w:t>支出。</w:t>
      </w:r>
    </w:p>
    <w:p>
      <w:pPr>
        <w:ind w:firstLine="640" w:firstLineChars="200"/>
        <w:rPr>
          <w:rFonts w:ascii="Times New Roman" w:hAnsi="Times New Roman" w:eastAsia="方正仿宋_GBK"/>
        </w:rPr>
      </w:pPr>
      <w:r>
        <w:rPr>
          <w:rFonts w:ascii="Times New Roman" w:hAnsi="Times New Roman" w:eastAsia="方正仿宋_GBK"/>
        </w:rPr>
        <w:t>机关运行经费：指各部门的公用经费（包含所有单位的公用经费及行政</w:t>
      </w:r>
      <w:r>
        <w:rPr>
          <w:rFonts w:hint="eastAsia" w:ascii="Times New Roman" w:hAnsi="Times New Roman" w:eastAsia="方正仿宋_GBK"/>
        </w:rPr>
        <w:t>（</w:t>
      </w:r>
      <w:r>
        <w:rPr>
          <w:rFonts w:ascii="Times New Roman" w:hAnsi="Times New Roman" w:eastAsia="方正仿宋_GBK"/>
        </w:rPr>
        <w:t>参公</w:t>
      </w:r>
      <w:r>
        <w:rPr>
          <w:rFonts w:hint="eastAsia" w:ascii="Times New Roman" w:hAnsi="Times New Roman" w:eastAsia="方正仿宋_GBK"/>
        </w:rPr>
        <w:t>）</w:t>
      </w:r>
      <w:r>
        <w:rPr>
          <w:rFonts w:ascii="Times New Roman" w:hAnsi="Times New Roman" w:eastAsia="方正仿宋_GBK"/>
        </w:rPr>
        <w:t>单位的运转类项目经费</w:t>
      </w:r>
      <w:r>
        <w:rPr>
          <w:rFonts w:hint="eastAsia" w:ascii="Times New Roman" w:hAnsi="Times New Roman" w:eastAsia="方正仿宋_GBK"/>
        </w:rPr>
        <w:t>）</w:t>
      </w:r>
      <w:r>
        <w:rPr>
          <w:rFonts w:ascii="Times New Roman" w:hAnsi="Times New Roman" w:eastAsia="方正仿宋_GBK"/>
        </w:rPr>
        <w:t>，包括办公及印刷费、邮电费、差旅费、会议费、福利费、</w:t>
      </w:r>
      <w:r>
        <w:rPr>
          <w:rFonts w:hint="eastAsia" w:ascii="Times New Roman" w:hAnsi="Times New Roman" w:eastAsia="方正仿宋_GBK"/>
        </w:rPr>
        <w:t>日常</w:t>
      </w:r>
      <w:r>
        <w:rPr>
          <w:rFonts w:ascii="Times New Roman" w:hAnsi="Times New Roman" w:eastAsia="方正仿宋_GBK"/>
        </w:rPr>
        <w:t>维修费、专用材料及一般设备购置费、办公用房水电费、办公用房取暖费、办公用房物业管理费、公务用车运行维护费以及其他费用。</w:t>
      </w:r>
    </w:p>
    <w:p>
      <w:pPr>
        <w:ind w:firstLine="640" w:firstLineChars="200"/>
        <w:rPr>
          <w:rFonts w:ascii="Times New Roman" w:hAnsi="Times New Roman" w:eastAsia="方正仿宋_GBK"/>
        </w:rPr>
      </w:pPr>
      <w:r>
        <w:rPr>
          <w:rFonts w:ascii="Times New Roman" w:hAnsi="Times New Roman" w:eastAsia="方正仿宋_GBK"/>
        </w:rPr>
        <w:t>卫生健康支出：</w:t>
      </w:r>
      <w:r>
        <w:rPr>
          <w:rFonts w:hint="eastAsia" w:ascii="Times New Roman" w:hAnsi="Times New Roman" w:eastAsia="方正仿宋_GBK"/>
        </w:rPr>
        <w:t>反映</w:t>
      </w:r>
      <w:r>
        <w:rPr>
          <w:rFonts w:ascii="Times New Roman" w:hAnsi="Times New Roman" w:eastAsia="方正仿宋_GBK"/>
        </w:rPr>
        <w:t>财政部门安排的行政单位</w:t>
      </w:r>
      <w:r>
        <w:rPr>
          <w:rFonts w:hint="eastAsia" w:ascii="Times New Roman" w:hAnsi="Times New Roman" w:eastAsia="方正仿宋_GBK"/>
        </w:rPr>
        <w:t>（包括实行公务员管理的事业单位）基本医疗保险缴费经费，未参加医疗保险的行政单位的公费医疗经费。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仿宋">
    <w:altName w:val="仿宋"/>
    <w:panose1 w:val="00000000000000000000"/>
    <w:charset w:val="86"/>
    <w:family w:val="script"/>
    <w:pitch w:val="default"/>
    <w:sig w:usb0="00000000" w:usb1="00000000" w:usb2="00000000" w:usb3="00000000" w:csb0="00040000" w:csb1="00000000"/>
  </w:font>
  <w:font w:name="Cambria">
    <w:panose1 w:val="020405030504060A0204"/>
    <w:charset w:val="00"/>
    <w:family w:val="roman"/>
    <w:pitch w:val="default"/>
    <w:sig w:usb0="A00002EF" w:usb1="4000004B" w:usb2="00000000" w:usb3="00000000" w:csb0="2000009F" w:csb1="00000000"/>
  </w:font>
  <w:font w:name="仿宋_GB2312">
    <w:altName w:val="仿宋"/>
    <w:panose1 w:val="00000000000000000000"/>
    <w:charset w:val="86"/>
    <w:family w:val="modern"/>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方正黑体">
    <w:altName w:val="黑体"/>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楷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B9175A"/>
    <w:multiLevelType w:val="singleLevel"/>
    <w:tmpl w:val="F0B9175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QxNTAwNTM5ODBlMTc5OThkZDYwMDBiMzI2NWQxNmQifQ=="/>
  </w:docVars>
  <w:rsids>
    <w:rsidRoot w:val="00D16ABB"/>
    <w:rsid w:val="005249CE"/>
    <w:rsid w:val="0053135F"/>
    <w:rsid w:val="006E77A0"/>
    <w:rsid w:val="00703879"/>
    <w:rsid w:val="00B46A97"/>
    <w:rsid w:val="00BE5A1C"/>
    <w:rsid w:val="00BF04FC"/>
    <w:rsid w:val="00D118F8"/>
    <w:rsid w:val="00D16ABB"/>
    <w:rsid w:val="00E02942"/>
    <w:rsid w:val="00EA4EE7"/>
    <w:rsid w:val="00FE79F6"/>
    <w:rsid w:val="026746C6"/>
    <w:rsid w:val="03325D26"/>
    <w:rsid w:val="04FA4B16"/>
    <w:rsid w:val="065F0BEE"/>
    <w:rsid w:val="06EF02EB"/>
    <w:rsid w:val="09D27E0F"/>
    <w:rsid w:val="0AB87005"/>
    <w:rsid w:val="0CCD397D"/>
    <w:rsid w:val="0E2815AF"/>
    <w:rsid w:val="120E7E53"/>
    <w:rsid w:val="1ED02718"/>
    <w:rsid w:val="23CE7442"/>
    <w:rsid w:val="24100E70"/>
    <w:rsid w:val="253D662D"/>
    <w:rsid w:val="25AE12D9"/>
    <w:rsid w:val="26581242"/>
    <w:rsid w:val="28101DD7"/>
    <w:rsid w:val="2F4D2D9E"/>
    <w:rsid w:val="30F37FE5"/>
    <w:rsid w:val="33C86A7F"/>
    <w:rsid w:val="387C683B"/>
    <w:rsid w:val="3A7F514B"/>
    <w:rsid w:val="3B08520F"/>
    <w:rsid w:val="3BE23632"/>
    <w:rsid w:val="40240823"/>
    <w:rsid w:val="42060D68"/>
    <w:rsid w:val="450C780B"/>
    <w:rsid w:val="47462CC7"/>
    <w:rsid w:val="4AC5484B"/>
    <w:rsid w:val="4B313C8F"/>
    <w:rsid w:val="50DF1FDF"/>
    <w:rsid w:val="55357DC1"/>
    <w:rsid w:val="55F36710"/>
    <w:rsid w:val="574C257C"/>
    <w:rsid w:val="579637F7"/>
    <w:rsid w:val="581133C2"/>
    <w:rsid w:val="58156E12"/>
    <w:rsid w:val="5C5D1E28"/>
    <w:rsid w:val="5CAB0EDE"/>
    <w:rsid w:val="5D795A4C"/>
    <w:rsid w:val="60DC4818"/>
    <w:rsid w:val="613B1842"/>
    <w:rsid w:val="660951F0"/>
    <w:rsid w:val="69C935B8"/>
    <w:rsid w:val="6F33155C"/>
    <w:rsid w:val="711C2B67"/>
    <w:rsid w:val="713003C1"/>
    <w:rsid w:val="71460F4D"/>
    <w:rsid w:val="76024985"/>
    <w:rsid w:val="77B27C24"/>
    <w:rsid w:val="783B5CDE"/>
    <w:rsid w:val="7A392094"/>
    <w:rsid w:val="7CA67789"/>
    <w:rsid w:val="7CE0713F"/>
    <w:rsid w:val="7D250FF6"/>
    <w:rsid w:val="7EEB1B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 w:cs="Times New Roman"/>
      <w:kern w:val="2"/>
      <w:sz w:val="32"/>
      <w:szCs w:val="32"/>
      <w:lang w:val="en-US" w:eastAsia="zh-CN" w:bidi="ar-SA"/>
    </w:rPr>
  </w:style>
  <w:style w:type="paragraph" w:styleId="2">
    <w:name w:val="heading 3"/>
    <w:basedOn w:val="1"/>
    <w:next w:val="1"/>
    <w:link w:val="8"/>
    <w:unhideWhenUsed/>
    <w:qFormat/>
    <w:uiPriority w:val="0"/>
    <w:pPr>
      <w:keepNext/>
      <w:keepLines/>
      <w:spacing w:before="260" w:after="260" w:line="416" w:lineRule="auto"/>
      <w:outlineLvl w:val="2"/>
    </w:pPr>
    <w:rPr>
      <w:b/>
      <w:bCs/>
      <w:lang w:val="zh-CN"/>
    </w:rPr>
  </w:style>
  <w:style w:type="paragraph" w:styleId="3">
    <w:name w:val="heading 4"/>
    <w:basedOn w:val="1"/>
    <w:next w:val="1"/>
    <w:link w:val="9"/>
    <w:unhideWhenUsed/>
    <w:qFormat/>
    <w:uiPriority w:val="0"/>
    <w:pPr>
      <w:keepNext/>
      <w:keepLines/>
      <w:spacing w:before="280" w:after="290" w:line="376" w:lineRule="auto"/>
      <w:outlineLvl w:val="3"/>
    </w:pPr>
    <w:rPr>
      <w:rFonts w:ascii="Cambria" w:hAnsi="Cambria" w:eastAsia="宋体"/>
      <w:b/>
      <w:bCs/>
      <w:sz w:val="28"/>
      <w:szCs w:val="28"/>
      <w:lang w:val="zh-CN"/>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3 Char"/>
    <w:basedOn w:val="7"/>
    <w:link w:val="2"/>
    <w:qFormat/>
    <w:uiPriority w:val="0"/>
    <w:rPr>
      <w:rFonts w:ascii="Calibri" w:hAnsi="Calibri" w:eastAsia="方正仿宋" w:cs="Times New Roman"/>
      <w:b/>
      <w:bCs/>
      <w:sz w:val="32"/>
      <w:szCs w:val="32"/>
      <w:lang w:val="zh-CN" w:eastAsia="zh-CN"/>
    </w:rPr>
  </w:style>
  <w:style w:type="character" w:customStyle="1" w:styleId="9">
    <w:name w:val="标题 4 Char"/>
    <w:basedOn w:val="7"/>
    <w:link w:val="3"/>
    <w:qFormat/>
    <w:uiPriority w:val="0"/>
    <w:rPr>
      <w:rFonts w:ascii="Cambria" w:hAnsi="Cambria" w:eastAsia="宋体" w:cs="Times New Roman"/>
      <w:b/>
      <w:bCs/>
      <w:sz w:val="28"/>
      <w:szCs w:val="28"/>
      <w:lang w:val="zh-CN" w:eastAsia="zh-CN"/>
    </w:rPr>
  </w:style>
  <w:style w:type="paragraph" w:customStyle="1" w:styleId="1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1">
    <w:name w:val="页眉 Char"/>
    <w:basedOn w:val="7"/>
    <w:link w:val="5"/>
    <w:semiHidden/>
    <w:uiPriority w:val="99"/>
    <w:rPr>
      <w:rFonts w:ascii="Calibri" w:hAnsi="Calibri" w:eastAsia="方正仿宋"/>
      <w:kern w:val="2"/>
      <w:sz w:val="18"/>
      <w:szCs w:val="18"/>
    </w:rPr>
  </w:style>
  <w:style w:type="character" w:customStyle="1" w:styleId="12">
    <w:name w:val="页脚 Char"/>
    <w:basedOn w:val="7"/>
    <w:link w:val="4"/>
    <w:semiHidden/>
    <w:qFormat/>
    <w:uiPriority w:val="99"/>
    <w:rPr>
      <w:rFonts w:ascii="Calibri" w:hAnsi="Calibri" w:eastAsia="方正仿宋"/>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6DFB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10</Pages>
  <Words>3651</Words>
  <Characters>452</Characters>
  <Lines>3</Lines>
  <Paragraphs>8</Paragraphs>
  <TotalTime>101</TotalTime>
  <ScaleCrop>false</ScaleCrop>
  <LinksUpToDate>false</LinksUpToDate>
  <CharactersWithSpaces>4095</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2024-01-22T08:06:00Z</dcterms:created>
  <dc:creator>王  楠</dc:creator>
  <cp:lastModifiedBy>Administrator</cp:lastModifiedBy>
  <dcterms:modified xsi:type="dcterms:W3CDTF">2024-01-24T04:32:12Z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AD744FD4EAC343EA813D86BD280360C4_12</vt:lpwstr>
  </property>
</Properties>
</file>