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kern w:val="0"/>
          <w:sz w:val="32"/>
          <w:szCs w:val="32"/>
        </w:rPr>
      </w:pPr>
      <w:r>
        <w:rPr>
          <w:rFonts w:hint="eastAsia" w:ascii="黑体" w:hAnsi="黑体" w:eastAsia="黑体"/>
          <w:kern w:val="0"/>
          <w:sz w:val="32"/>
          <w:szCs w:val="32"/>
        </w:rPr>
        <w:t>附件</w:t>
      </w:r>
      <w:r>
        <w:rPr>
          <w:rFonts w:eastAsia="黑体"/>
          <w:kern w:val="0"/>
          <w:sz w:val="32"/>
          <w:szCs w:val="32"/>
        </w:rPr>
        <w:t>2</w:t>
      </w:r>
    </w:p>
    <w:p>
      <w:pPr>
        <w:snapToGrid w:val="0"/>
        <w:rPr>
          <w:rFonts w:ascii="仿宋_GB2312" w:eastAsia="仿宋_GB2312"/>
          <w:sz w:val="32"/>
          <w:szCs w:val="32"/>
        </w:rPr>
      </w:pPr>
    </w:p>
    <w:p>
      <w:pPr>
        <w:snapToGrid w:val="0"/>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青羊区成都儿童专科医院</w:t>
      </w:r>
    </w:p>
    <w:p>
      <w:pPr>
        <w:snapToGrid w:val="0"/>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2022年部门预算说明</w:t>
      </w:r>
    </w:p>
    <w:p>
      <w:pPr>
        <w:ind w:firstLine="643" w:firstLineChars="200"/>
        <w:rPr>
          <w:rFonts w:eastAsia="方正黑体"/>
          <w:sz w:val="32"/>
          <w:szCs w:val="32"/>
        </w:rPr>
      </w:pPr>
      <w:r>
        <w:rPr>
          <w:rFonts w:hint="eastAsia" w:eastAsia="方正黑体"/>
          <w:b/>
          <w:sz w:val="32"/>
          <w:szCs w:val="32"/>
        </w:rPr>
        <w:t xml:space="preserve">            </w:t>
      </w:r>
      <w:r>
        <w:rPr>
          <w:rFonts w:hint="eastAsia" w:eastAsia="方正黑体"/>
          <w:sz w:val="32"/>
          <w:szCs w:val="32"/>
        </w:rPr>
        <w:t xml:space="preserve">      </w:t>
      </w:r>
    </w:p>
    <w:p>
      <w:pPr>
        <w:ind w:firstLine="640" w:firstLineChars="200"/>
        <w:rPr>
          <w:rFonts w:ascii="方正黑体_GBK" w:eastAsia="方正黑体_GBK"/>
          <w:sz w:val="32"/>
          <w:szCs w:val="32"/>
        </w:rPr>
      </w:pPr>
      <w:r>
        <w:rPr>
          <w:rFonts w:hint="eastAsia" w:ascii="方正黑体_GBK" w:eastAsia="方正黑体_GBK"/>
          <w:sz w:val="32"/>
          <w:szCs w:val="32"/>
        </w:rPr>
        <w:t>一、基本职能及主要工作</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都儿童专科医院是政府举办的非营利性公立医院，集医疗、科研、教学、预防保健为一体的一所二级甲等儿童专科医院，医院现有青羊、成华两个院区，设有小儿呼吸内科、消化内科、神经内科、血液肾病、小儿外科、儿童预防保健、中医科、口腔科、眼-耳鼻喉科、皮肤科等22个临床专科和亚专业，是成都市青羊区儿科质量控制中心；医院现有在职职工340余人，其中高级职称38余人，硕士研究生14人，拥有小儿呼吸内科、神经内科、血液肾病、中医、小儿外科、口腔科等专家队伍；医院现有编制床位210张，年门诊量30-40万人次，年收治住院病人，6000余人次。</w:t>
      </w:r>
    </w:p>
    <w:p>
      <w:pPr>
        <w:ind w:firstLine="640" w:firstLineChars="200"/>
        <w:rPr>
          <w:rFonts w:eastAsia="楷体_GB2312"/>
          <w:sz w:val="32"/>
          <w:szCs w:val="32"/>
        </w:rPr>
      </w:pPr>
      <w:r>
        <w:rPr>
          <w:rFonts w:hint="eastAsia" w:eastAsia="楷体_GB2312"/>
          <w:sz w:val="32"/>
          <w:szCs w:val="32"/>
        </w:rPr>
        <w:t>（二）2022年重点工作</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2022年我院将重点开展互联网医院的运行，利用网络平台及直播平台等宣传途经，充分发挥我院儿科技术力量，拓宽医院服务范围。2022年将对医院的亚专科科室设置、标志标牌更换、亚专科人员安排、亚专科床位设置及医疗设备等进行安排，送培专科进修，助推专科发展，为亚专科建设做好物质、人员的基础。加强我院儿童消化内科重点专科建设，力争年内在消化内科领域申报一项科研课题，并在科技成果、学术论文方面有新的突破，为重点专科验收蓄力。全院还将在2022年准备对我院二级甲等医院的复审评级工作。</w:t>
      </w:r>
    </w:p>
    <w:p>
      <w:pPr>
        <w:ind w:firstLine="640" w:firstLineChars="200"/>
        <w:rPr>
          <w:rFonts w:ascii="方正黑体_GBK" w:eastAsia="方正黑体_GBK"/>
          <w:sz w:val="32"/>
          <w:szCs w:val="32"/>
        </w:rPr>
      </w:pPr>
      <w:r>
        <w:rPr>
          <w:rFonts w:ascii="方正黑体_GBK" w:eastAsia="方正黑体_GBK"/>
          <w:sz w:val="32"/>
          <w:szCs w:val="32"/>
        </w:rPr>
        <w:t>二、</w:t>
      </w:r>
      <w:r>
        <w:rPr>
          <w:rFonts w:hint="eastAsia" w:ascii="方正黑体_GBK" w:eastAsia="方正黑体_GBK"/>
          <w:sz w:val="32"/>
          <w:szCs w:val="32"/>
        </w:rPr>
        <w:t>部门预算</w:t>
      </w:r>
      <w:r>
        <w:rPr>
          <w:rFonts w:ascii="方正黑体_GBK" w:eastAsia="方正黑体_GBK"/>
          <w:sz w:val="32"/>
          <w:szCs w:val="32"/>
        </w:rPr>
        <w:t>单位构成</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p>
      <w:pPr>
        <w:ind w:firstLine="640" w:firstLineChars="200"/>
        <w:rPr>
          <w:rFonts w:ascii="方正黑体_GBK" w:eastAsia="方正黑体_GBK"/>
          <w:sz w:val="32"/>
          <w:szCs w:val="32"/>
        </w:rPr>
      </w:pPr>
      <w:r>
        <w:rPr>
          <w:rFonts w:hint="eastAsia" w:ascii="方正黑体_GBK" w:eastAsia="方正黑体_GBK"/>
          <w:sz w:val="32"/>
          <w:szCs w:val="32"/>
        </w:rPr>
        <w:t>三、</w:t>
      </w:r>
      <w:r>
        <w:rPr>
          <w:rFonts w:eastAsia="方正黑体_GBK"/>
          <w:sz w:val="32"/>
          <w:szCs w:val="32"/>
        </w:rPr>
        <w:t>2022年</w:t>
      </w:r>
      <w:r>
        <w:rPr>
          <w:rFonts w:hint="eastAsia" w:ascii="方正黑体_GBK" w:eastAsia="方正黑体_GBK"/>
          <w:sz w:val="32"/>
          <w:szCs w:val="32"/>
        </w:rPr>
        <w:t>财政拨款收支预算情况的总体说明</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2022年财政拨款收支总预算807.69万元。收入包括：一般公共预算拨款收入807.69万元、无政府性基金预算拨款收入，支出包括：卫生健康支出807.69万元。</w:t>
      </w:r>
    </w:p>
    <w:p>
      <w:pPr>
        <w:ind w:firstLine="640" w:firstLineChars="200"/>
        <w:rPr>
          <w:rFonts w:ascii="方正黑体_GBK" w:eastAsia="方正黑体_GBK"/>
          <w:sz w:val="32"/>
          <w:szCs w:val="32"/>
        </w:rPr>
      </w:pPr>
      <w:r>
        <w:rPr>
          <w:rFonts w:hint="eastAsia" w:ascii="方正黑体_GBK" w:eastAsia="方正黑体_GBK"/>
          <w:sz w:val="32"/>
          <w:szCs w:val="32"/>
        </w:rPr>
        <w:t>四、</w:t>
      </w:r>
      <w:r>
        <w:rPr>
          <w:rFonts w:eastAsia="方正黑体_GBK"/>
          <w:sz w:val="32"/>
          <w:szCs w:val="32"/>
        </w:rPr>
        <w:t>2022年</w:t>
      </w:r>
      <w:r>
        <w:rPr>
          <w:rFonts w:hint="eastAsia" w:ascii="方正黑体_GBK" w:eastAsia="方正黑体_GBK"/>
          <w:sz w:val="32"/>
          <w:szCs w:val="32"/>
        </w:rPr>
        <w:t>一般公共预算当年拨款情况说明</w:t>
      </w:r>
    </w:p>
    <w:p>
      <w:pPr>
        <w:ind w:firstLine="640" w:firstLineChars="200"/>
        <w:rPr>
          <w:rFonts w:eastAsia="楷体_GB2312"/>
          <w:sz w:val="32"/>
          <w:szCs w:val="32"/>
        </w:rPr>
      </w:pPr>
      <w:r>
        <w:rPr>
          <w:rFonts w:hint="eastAsia" w:eastAsia="楷体_GB2312"/>
          <w:sz w:val="32"/>
          <w:szCs w:val="32"/>
        </w:rPr>
        <w:t>（一）一般公共预算当年拨款规模变化情况</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成都儿童专科医院2022年一般公共预算当年拨款807.69万元，比2020年预算数786.11万元增加21.58万元，增长2.75%,变动的主要原因是国家政策原因引起的人员经费的增加，如薪级工资调整、护龄工资调整等。</w:t>
      </w:r>
    </w:p>
    <w:p>
      <w:pPr>
        <w:ind w:firstLine="640" w:firstLineChars="200"/>
        <w:rPr>
          <w:rFonts w:eastAsia="楷体_GB2312"/>
          <w:sz w:val="32"/>
          <w:szCs w:val="32"/>
        </w:rPr>
      </w:pPr>
      <w:r>
        <w:rPr>
          <w:rFonts w:hint="eastAsia" w:eastAsia="楷体_GB2312"/>
          <w:sz w:val="32"/>
          <w:szCs w:val="32"/>
        </w:rPr>
        <w:t>（二）一般公共预算当年拨款结构情况</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卫生健康支出807.69万元，占100%；其中，2100207儿童医院（民生）794.07万元，2101103公务员医疗补助13.62万元。</w:t>
      </w:r>
    </w:p>
    <w:p>
      <w:pPr>
        <w:ind w:firstLine="640" w:firstLineChars="200"/>
        <w:rPr>
          <w:rFonts w:eastAsia="楷体_GB2312"/>
          <w:sz w:val="32"/>
          <w:szCs w:val="32"/>
        </w:rPr>
      </w:pPr>
      <w:r>
        <w:rPr>
          <w:rFonts w:hint="eastAsia" w:eastAsia="楷体_GB2312"/>
          <w:sz w:val="32"/>
          <w:szCs w:val="32"/>
        </w:rPr>
        <w:t>（三）一般公共预算当年拨款具体使用情况</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2100207-儿童医院（民生）</w:t>
      </w:r>
      <w:r>
        <w:rPr>
          <w:rFonts w:hint="eastAsia" w:asciiTheme="minorEastAsia" w:hAnsiTheme="minorEastAsia" w:eastAsiaTheme="minorEastAsia" w:cstheme="minorEastAsia"/>
          <w:sz w:val="28"/>
          <w:szCs w:val="28"/>
        </w:rPr>
        <w:t>预算数为预算数为794.07万元，比2021年预算数786.11万元增加21.58万元，增长2.75%，变动的主要原因是国家政策原因引起的人员经费的增加，如薪级工资调整、护龄工资调整等。主要用于工资福利支出。</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2101103-</w:t>
      </w:r>
      <w:r>
        <w:rPr>
          <w:rFonts w:hint="eastAsia" w:asciiTheme="minorEastAsia" w:hAnsiTheme="minorEastAsia" w:eastAsiaTheme="minorEastAsia" w:cstheme="minorEastAsia"/>
          <w:sz w:val="28"/>
          <w:szCs w:val="28"/>
          <w:lang w:eastAsia="zh-CN"/>
        </w:rPr>
        <w:t>公务员医疗补助预算数</w:t>
      </w:r>
      <w:r>
        <w:rPr>
          <w:rFonts w:hint="eastAsia" w:asciiTheme="minorEastAsia" w:hAnsiTheme="minorEastAsia" w:eastAsiaTheme="minorEastAsia" w:cstheme="minorEastAsia"/>
          <w:sz w:val="28"/>
          <w:szCs w:val="28"/>
        </w:rPr>
        <w:t>为13.62万元，比2021年预算数13.74万元减少0.12万元，减少0.87%，变动的主要原因是退休人员的死亡和正编人员的辞职。主要用于医院在编和退休人员医疗费补助。</w:t>
      </w:r>
    </w:p>
    <w:p>
      <w:pPr>
        <w:ind w:firstLine="640" w:firstLineChars="200"/>
        <w:rPr>
          <w:rFonts w:ascii="方正黑体_GBK" w:eastAsia="方正黑体_GBK"/>
          <w:sz w:val="32"/>
          <w:szCs w:val="32"/>
        </w:rPr>
      </w:pPr>
      <w:r>
        <w:rPr>
          <w:rFonts w:hint="eastAsia" w:ascii="方正黑体_GBK" w:eastAsia="方正黑体_GBK"/>
          <w:sz w:val="32"/>
          <w:szCs w:val="32"/>
        </w:rPr>
        <w:t>五、</w:t>
      </w:r>
      <w:r>
        <w:rPr>
          <w:rFonts w:eastAsia="方正黑体_GBK"/>
          <w:sz w:val="32"/>
          <w:szCs w:val="32"/>
        </w:rPr>
        <w:t>2022</w:t>
      </w:r>
      <w:r>
        <w:rPr>
          <w:rFonts w:hint="eastAsia" w:ascii="方正黑体_GBK" w:eastAsia="方正黑体_GBK"/>
          <w:sz w:val="32"/>
          <w:szCs w:val="32"/>
        </w:rPr>
        <w:t>年一般公共预算基本支出情况说明</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成都儿童专科医院202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年一般公共预算基本支出</w:t>
      </w:r>
      <w:r>
        <w:rPr>
          <w:rFonts w:hint="eastAsia" w:asciiTheme="minorEastAsia" w:hAnsiTheme="minorEastAsia" w:eastAsiaTheme="minorEastAsia" w:cstheme="minorEastAsia"/>
          <w:sz w:val="28"/>
          <w:szCs w:val="28"/>
          <w:lang w:val="en-US" w:eastAsia="zh-CN"/>
        </w:rPr>
        <w:t>807.69</w:t>
      </w:r>
      <w:r>
        <w:rPr>
          <w:rFonts w:hint="eastAsia" w:asciiTheme="minorEastAsia" w:hAnsiTheme="minorEastAsia" w:eastAsiaTheme="minorEastAsia" w:cstheme="minorEastAsia"/>
          <w:sz w:val="28"/>
          <w:szCs w:val="28"/>
        </w:rPr>
        <w:t>万元，其中：</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人员经费</w:t>
      </w:r>
      <w:r>
        <w:rPr>
          <w:rFonts w:hint="eastAsia" w:asciiTheme="minorEastAsia" w:hAnsiTheme="minorEastAsia" w:eastAsiaTheme="minorEastAsia" w:cstheme="minorEastAsia"/>
          <w:sz w:val="28"/>
          <w:szCs w:val="28"/>
          <w:lang w:val="en-US" w:eastAsia="zh-CN"/>
        </w:rPr>
        <w:t>794.07</w:t>
      </w:r>
      <w:r>
        <w:rPr>
          <w:rFonts w:hint="eastAsia" w:asciiTheme="minorEastAsia" w:hAnsiTheme="minorEastAsia" w:eastAsiaTheme="minorEastAsia" w:cstheme="minorEastAsia"/>
          <w:sz w:val="28"/>
          <w:szCs w:val="28"/>
        </w:rPr>
        <w:t>万元，主要包括：基本工资、 对个人和家庭的补助</w:t>
      </w:r>
      <w:r>
        <w:rPr>
          <w:rFonts w:hint="eastAsia" w:asciiTheme="minorEastAsia" w:hAnsiTheme="minorEastAsia" w:eastAsiaTheme="minorEastAsia" w:cstheme="minorEastAsia"/>
          <w:sz w:val="28"/>
          <w:szCs w:val="28"/>
          <w:lang w:val="en-US" w:eastAsia="zh-CN"/>
        </w:rPr>
        <w:t>13.62</w:t>
      </w:r>
      <w:r>
        <w:rPr>
          <w:rFonts w:hint="eastAsia" w:asciiTheme="minorEastAsia" w:hAnsiTheme="minorEastAsia" w:eastAsiaTheme="minorEastAsia" w:cstheme="minorEastAsia"/>
          <w:sz w:val="28"/>
          <w:szCs w:val="28"/>
        </w:rPr>
        <w:t>万元，主要包括：公务员医疗补助</w:t>
      </w:r>
    </w:p>
    <w:p>
      <w:pPr>
        <w:ind w:firstLine="640" w:firstLineChars="200"/>
        <w:rPr>
          <w:rFonts w:ascii="方正黑体_GBK" w:eastAsia="方正黑体_GBK"/>
          <w:sz w:val="32"/>
          <w:szCs w:val="32"/>
        </w:rPr>
      </w:pPr>
      <w:r>
        <w:rPr>
          <w:rFonts w:hint="eastAsia" w:ascii="方正黑体_GBK" w:eastAsia="方正黑体_GBK"/>
          <w:sz w:val="32"/>
          <w:szCs w:val="32"/>
        </w:rPr>
        <w:t>六</w:t>
      </w:r>
      <w:r>
        <w:rPr>
          <w:rFonts w:ascii="方正黑体_GBK" w:eastAsia="方正黑体_GBK"/>
          <w:sz w:val="32"/>
          <w:szCs w:val="32"/>
        </w:rPr>
        <w:t>、</w:t>
      </w:r>
      <w:r>
        <w:rPr>
          <w:rFonts w:hint="eastAsia" w:ascii="方正黑体_GBK" w:eastAsia="方正黑体_GBK"/>
          <w:sz w:val="32"/>
          <w:szCs w:val="32"/>
        </w:rPr>
        <w:t>财政拨款安排</w:t>
      </w:r>
      <w:r>
        <w:rPr>
          <w:rFonts w:ascii="方正黑体_GBK" w:eastAsia="方正黑体_GBK"/>
          <w:sz w:val="32"/>
          <w:szCs w:val="32"/>
        </w:rPr>
        <w:t>“三公”经费预算情况说明</w:t>
      </w:r>
    </w:p>
    <w:p>
      <w:pPr>
        <w:ind w:firstLine="640" w:firstLineChars="200"/>
        <w:rPr>
          <w:rFonts w:eastAsia="楷体_GB2312"/>
          <w:sz w:val="32"/>
          <w:szCs w:val="32"/>
        </w:rPr>
      </w:pPr>
      <w:r>
        <w:rPr>
          <w:rFonts w:eastAsia="楷体_GB2312"/>
          <w:sz w:val="32"/>
          <w:szCs w:val="32"/>
        </w:rPr>
        <w:t>（一）因公出国（境）经费</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无</w:t>
      </w:r>
    </w:p>
    <w:p>
      <w:pPr>
        <w:ind w:firstLine="640" w:firstLineChars="200"/>
        <w:rPr>
          <w:rFonts w:eastAsia="楷体_GB2312"/>
          <w:sz w:val="32"/>
          <w:szCs w:val="32"/>
        </w:rPr>
      </w:pPr>
      <w:r>
        <w:rPr>
          <w:rFonts w:eastAsia="楷体_GB2312"/>
          <w:sz w:val="32"/>
          <w:szCs w:val="32"/>
        </w:rPr>
        <w:t>（二）公务接待费</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无</w:t>
      </w:r>
    </w:p>
    <w:p>
      <w:pPr>
        <w:ind w:firstLine="640" w:firstLineChars="200"/>
        <w:rPr>
          <w:rFonts w:eastAsia="楷体_GB2312"/>
          <w:sz w:val="32"/>
          <w:szCs w:val="32"/>
        </w:rPr>
      </w:pPr>
      <w:r>
        <w:rPr>
          <w:rFonts w:eastAsia="楷体_GB2312"/>
          <w:sz w:val="32"/>
          <w:szCs w:val="32"/>
        </w:rPr>
        <w:t>（三）公务用车购置及运行维护费</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无</w:t>
      </w:r>
    </w:p>
    <w:p>
      <w:pPr>
        <w:ind w:firstLine="640" w:firstLineChars="200"/>
        <w:rPr>
          <w:rFonts w:ascii="方正黑体_GBK" w:eastAsia="方正黑体_GBK"/>
          <w:sz w:val="32"/>
          <w:szCs w:val="32"/>
        </w:rPr>
      </w:pPr>
      <w:r>
        <w:rPr>
          <w:rFonts w:hint="eastAsia" w:ascii="方正黑体_GBK" w:eastAsia="方正黑体_GBK"/>
          <w:sz w:val="32"/>
          <w:szCs w:val="32"/>
        </w:rPr>
        <w:t>七、</w:t>
      </w:r>
      <w:r>
        <w:rPr>
          <w:rFonts w:eastAsia="方正黑体_GBK"/>
          <w:sz w:val="32"/>
          <w:szCs w:val="32"/>
        </w:rPr>
        <w:t>2022</w:t>
      </w:r>
      <w:r>
        <w:rPr>
          <w:rFonts w:hint="eastAsia" w:ascii="方正黑体_GBK" w:eastAsia="方正黑体_GBK"/>
          <w:sz w:val="32"/>
          <w:szCs w:val="32"/>
        </w:rPr>
        <w:t>年政府性基金预算收支及变化情况的说明</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无</w:t>
      </w:r>
    </w:p>
    <w:p>
      <w:pPr>
        <w:ind w:firstLine="640" w:firstLineChars="200"/>
        <w:rPr>
          <w:rFonts w:ascii="方正黑体_GBK" w:eastAsia="方正黑体_GBK"/>
          <w:sz w:val="32"/>
          <w:szCs w:val="32"/>
        </w:rPr>
      </w:pPr>
      <w:r>
        <w:rPr>
          <w:rFonts w:hint="eastAsia" w:ascii="方正黑体_GBK" w:eastAsia="方正黑体_GBK"/>
          <w:sz w:val="32"/>
          <w:szCs w:val="32"/>
        </w:rPr>
        <w:t>八</w:t>
      </w:r>
      <w:r>
        <w:rPr>
          <w:rFonts w:ascii="方正黑体_GBK" w:eastAsia="方正黑体_GBK"/>
          <w:sz w:val="32"/>
          <w:szCs w:val="32"/>
        </w:rPr>
        <w:t>、</w:t>
      </w:r>
      <w:r>
        <w:rPr>
          <w:rFonts w:eastAsia="方正黑体_GBK"/>
          <w:sz w:val="32"/>
          <w:szCs w:val="32"/>
        </w:rPr>
        <w:t>2022</w:t>
      </w:r>
      <w:r>
        <w:rPr>
          <w:rFonts w:hint="eastAsia" w:ascii="方正黑体_GBK" w:eastAsia="方正黑体_GBK"/>
          <w:sz w:val="32"/>
          <w:szCs w:val="32"/>
        </w:rPr>
        <w:t>年</w:t>
      </w:r>
      <w:r>
        <w:rPr>
          <w:rFonts w:ascii="方正黑体_GBK" w:eastAsia="方正黑体_GBK"/>
          <w:sz w:val="32"/>
          <w:szCs w:val="32"/>
        </w:rPr>
        <w:t>预算收支</w:t>
      </w:r>
      <w:r>
        <w:rPr>
          <w:rFonts w:hint="eastAsia" w:ascii="方正黑体_GBK" w:eastAsia="方正黑体_GBK"/>
          <w:sz w:val="32"/>
          <w:szCs w:val="32"/>
        </w:rPr>
        <w:t>及变化情况的总体</w:t>
      </w:r>
      <w:r>
        <w:rPr>
          <w:rFonts w:ascii="方正黑体_GBK" w:eastAsia="方正黑体_GBK"/>
          <w:sz w:val="32"/>
          <w:szCs w:val="32"/>
        </w:rPr>
        <w:t>说明</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按照综合预算的原则，成都儿童专科医院所有收入和支出均纳入部门预算管理。收入包括：一般公共预算财政拨款收入；支出包括：卫生健康支出。成都儿童专科医院2022年收支总预算807.69万元，比2021年预算数786.11万元增加21.58万元，增长2.75%，变动的主要原因是国家政策原因引起的人员经费增加。</w:t>
      </w:r>
    </w:p>
    <w:p>
      <w:pPr>
        <w:ind w:firstLine="640" w:firstLineChars="200"/>
        <w:rPr>
          <w:rFonts w:ascii="方正黑体_GBK" w:eastAsia="方正黑体_GBK"/>
          <w:sz w:val="32"/>
          <w:szCs w:val="32"/>
        </w:rPr>
      </w:pPr>
      <w:r>
        <w:rPr>
          <w:rFonts w:hint="eastAsia" w:ascii="方正黑体_GBK" w:eastAsia="方正黑体_GBK"/>
          <w:sz w:val="32"/>
          <w:szCs w:val="32"/>
        </w:rPr>
        <w:t>九</w:t>
      </w:r>
      <w:r>
        <w:rPr>
          <w:rFonts w:eastAsia="方正黑体_GBK"/>
          <w:sz w:val="32"/>
          <w:szCs w:val="32"/>
        </w:rPr>
        <w:t>、2022</w:t>
      </w:r>
      <w:r>
        <w:rPr>
          <w:rFonts w:hint="eastAsia" w:ascii="方正黑体_GBK" w:eastAsia="方正黑体_GBK"/>
          <w:sz w:val="32"/>
          <w:szCs w:val="32"/>
        </w:rPr>
        <w:t>年收入预算情况说明</w:t>
      </w:r>
    </w:p>
    <w:p>
      <w:pPr>
        <w:ind w:firstLine="560" w:firstLineChars="200"/>
        <w:rPr>
          <w:rFonts w:eastAsia="方正仿宋_GBK"/>
          <w:b/>
          <w:sz w:val="32"/>
          <w:szCs w:val="32"/>
          <w:u w:val="single"/>
        </w:rPr>
      </w:pPr>
      <w:r>
        <w:rPr>
          <w:rFonts w:hint="eastAsia" w:asciiTheme="minorEastAsia" w:hAnsiTheme="minorEastAsia" w:eastAsiaTheme="minorEastAsia" w:cstheme="minorEastAsia"/>
          <w:sz w:val="28"/>
          <w:szCs w:val="28"/>
          <w:lang w:val="en-US" w:eastAsia="zh-CN"/>
        </w:rPr>
        <w:t>成都儿童专科医院2022年收入预算807.69万元，其中：一般公共预算拨款收入807.69万元，占100%；</w:t>
      </w:r>
    </w:p>
    <w:p>
      <w:pPr>
        <w:ind w:firstLine="640" w:firstLineChars="200"/>
        <w:rPr>
          <w:rFonts w:ascii="方正黑体_GBK" w:eastAsia="方正黑体_GBK"/>
          <w:sz w:val="32"/>
          <w:szCs w:val="32"/>
        </w:rPr>
      </w:pPr>
      <w:r>
        <w:rPr>
          <w:rFonts w:hint="eastAsia" w:ascii="方正黑体_GBK" w:eastAsia="方正黑体_GBK"/>
          <w:sz w:val="32"/>
          <w:szCs w:val="32"/>
        </w:rPr>
        <w:t>十、</w:t>
      </w:r>
      <w:r>
        <w:rPr>
          <w:rFonts w:eastAsia="方正黑体_GBK"/>
          <w:sz w:val="32"/>
          <w:szCs w:val="32"/>
        </w:rPr>
        <w:t>2022年</w:t>
      </w:r>
      <w:r>
        <w:rPr>
          <w:rFonts w:hint="eastAsia" w:ascii="方正黑体_GBK" w:eastAsia="方正黑体_GBK"/>
          <w:sz w:val="32"/>
          <w:szCs w:val="32"/>
        </w:rPr>
        <w:t>支出预算情况说明</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成都儿童专科医院2022年支出预算807.69万元，其中：基本支出预算807.69万元，占100%；</w:t>
      </w:r>
    </w:p>
    <w:p>
      <w:pPr>
        <w:ind w:firstLine="640" w:firstLineChars="200"/>
        <w:rPr>
          <w:rFonts w:ascii="方正黑体_GBK" w:eastAsia="方正黑体_GBK"/>
          <w:sz w:val="32"/>
          <w:szCs w:val="32"/>
        </w:rPr>
      </w:pPr>
      <w:r>
        <w:rPr>
          <w:rFonts w:hint="eastAsia" w:ascii="方正黑体_GBK" w:eastAsia="方正黑体_GBK"/>
          <w:sz w:val="32"/>
          <w:szCs w:val="32"/>
        </w:rPr>
        <w:t>十一</w:t>
      </w:r>
      <w:r>
        <w:rPr>
          <w:rFonts w:ascii="方正黑体_GBK" w:eastAsia="方正黑体_GBK"/>
          <w:sz w:val="32"/>
          <w:szCs w:val="32"/>
        </w:rPr>
        <w:t>、</w:t>
      </w:r>
      <w:r>
        <w:rPr>
          <w:rFonts w:hint="eastAsia" w:ascii="方正黑体_GBK" w:eastAsia="方正黑体_GBK"/>
          <w:sz w:val="32"/>
          <w:szCs w:val="32"/>
        </w:rPr>
        <w:t>其他重要事项的情况说明</w:t>
      </w:r>
    </w:p>
    <w:p>
      <w:pPr>
        <w:ind w:firstLine="640" w:firstLineChars="200"/>
        <w:rPr>
          <w:rFonts w:ascii="方正楷体_GBK" w:eastAsia="方正楷体_GBK"/>
          <w:sz w:val="32"/>
          <w:szCs w:val="32"/>
        </w:rPr>
      </w:pPr>
      <w:r>
        <w:rPr>
          <w:rFonts w:ascii="方正楷体_GBK" w:eastAsia="方正楷体_GBK"/>
          <w:sz w:val="32"/>
          <w:szCs w:val="32"/>
        </w:rPr>
        <w:t>（一）机关运行经费</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无</w:t>
      </w:r>
    </w:p>
    <w:p>
      <w:pPr>
        <w:ind w:firstLine="640" w:firstLineChars="200"/>
        <w:rPr>
          <w:rFonts w:ascii="方正楷体_GBK" w:eastAsia="方正楷体_GBK"/>
          <w:sz w:val="32"/>
          <w:szCs w:val="32"/>
        </w:rPr>
      </w:pPr>
      <w:r>
        <w:rPr>
          <w:rFonts w:ascii="方正楷体_GBK" w:eastAsia="方正楷体_GBK"/>
          <w:sz w:val="32"/>
          <w:szCs w:val="32"/>
        </w:rPr>
        <w:t>（二）政府采购情况</w:t>
      </w:r>
    </w:p>
    <w:p>
      <w:pPr>
        <w:ind w:firstLine="560" w:firstLineChars="200"/>
        <w:rPr>
          <w:rFonts w:eastAsia="方正仿宋_GBK"/>
          <w:sz w:val="32"/>
          <w:szCs w:val="32"/>
        </w:rPr>
      </w:pPr>
      <w:r>
        <w:rPr>
          <w:rFonts w:hint="eastAsia" w:asciiTheme="minorEastAsia" w:hAnsiTheme="minorEastAsia" w:eastAsiaTheme="minorEastAsia" w:cstheme="minorEastAsia"/>
          <w:sz w:val="28"/>
          <w:szCs w:val="28"/>
          <w:lang w:val="en-US" w:eastAsia="zh-CN"/>
        </w:rPr>
        <w:t>2022年我院政府采购预算总额约230万元，其中：政府采购货物预算100万元、政府采购工程预算0万元、政府采购服务预算130万元。</w:t>
      </w:r>
    </w:p>
    <w:p>
      <w:pPr>
        <w:ind w:firstLine="640" w:firstLineChars="200"/>
        <w:rPr>
          <w:rFonts w:ascii="方正楷体_GBK" w:eastAsia="方正楷体_GBK"/>
          <w:sz w:val="32"/>
          <w:szCs w:val="32"/>
        </w:rPr>
      </w:pPr>
      <w:r>
        <w:rPr>
          <w:rFonts w:ascii="方正楷体_GBK" w:eastAsia="方正楷体_GBK"/>
          <w:sz w:val="32"/>
          <w:szCs w:val="32"/>
        </w:rPr>
        <w:t>（三）国有资产占有使用情况</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2022年，我院共有车辆5辆，其中，一般公务用车3辆、一般执法执勤用车0辆、特种专业技术用处2辆。本单位在2021年末通过紧急采购购买了一台价值约500万元的大型设备。</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在2022年我院预算未安排购置车辆及单位价值200万元以上大型设备。</w:t>
      </w:r>
    </w:p>
    <w:p>
      <w:pPr>
        <w:ind w:firstLine="640" w:firstLineChars="200"/>
        <w:rPr>
          <w:rFonts w:eastAsia="方正仿宋_GBK"/>
          <w:sz w:val="32"/>
          <w:szCs w:val="32"/>
        </w:rPr>
      </w:pPr>
    </w:p>
    <w:p>
      <w:pPr>
        <w:ind w:firstLine="640" w:firstLineChars="200"/>
        <w:rPr>
          <w:rFonts w:ascii="方正楷体_GBK" w:eastAsia="方正楷体_GBK"/>
          <w:sz w:val="32"/>
          <w:szCs w:val="32"/>
        </w:rPr>
      </w:pPr>
      <w:r>
        <w:rPr>
          <w:rFonts w:hint="eastAsia" w:ascii="方正楷体_GBK" w:eastAsia="方正楷体_GBK"/>
          <w:sz w:val="32"/>
          <w:szCs w:val="32"/>
        </w:rPr>
        <w:t>（四）绩效目标设置情况</w:t>
      </w:r>
    </w:p>
    <w:p>
      <w:pPr>
        <w:rPr>
          <w:rFonts w:hint="eastAsia" w:asciiTheme="minorEastAsia" w:hAnsiTheme="minorEastAsia" w:eastAsiaTheme="minorEastAsia" w:cstheme="minor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8"/>
          <w:szCs w:val="28"/>
          <w:lang w:val="en-US" w:eastAsia="zh-CN"/>
        </w:rPr>
        <w:t>2022年成都儿童专科医院实行绩效目标管理的项目2个，涉及预算807.69万元，其中，一般公共预算807.69万元，第一个绩效目标管理项目为儿童医院（民生）对事业单位经常性补助工资福利支出794.07万元，第二个绩效目标管理项目工资福利支出公务员医疗补助13.62万元。</w:t>
      </w:r>
    </w:p>
    <w:p>
      <w:pPr>
        <w:pStyle w:val="2"/>
        <w:keepNext w:val="0"/>
        <w:keepLines w:val="0"/>
        <w:topLinePunct/>
        <w:spacing w:before="0" w:after="0" w:line="240" w:lineRule="auto"/>
        <w:jc w:val="center"/>
        <w:rPr>
          <w:rFonts w:eastAsia="方正黑体_GBK"/>
          <w:b w:val="0"/>
          <w:sz w:val="32"/>
          <w:szCs w:val="32"/>
        </w:rPr>
      </w:pPr>
      <w:r>
        <w:rPr>
          <w:rFonts w:eastAsia="方正黑体_GBK"/>
          <w:b w:val="0"/>
          <w:bCs w:val="0"/>
          <w:sz w:val="32"/>
          <w:szCs w:val="32"/>
        </w:rPr>
        <w:t>名</w:t>
      </w:r>
      <w:r>
        <w:rPr>
          <w:rFonts w:eastAsia="方正黑体_GBK"/>
          <w:b w:val="0"/>
          <w:sz w:val="32"/>
          <w:szCs w:val="32"/>
        </w:rPr>
        <w:t>词解释</w:t>
      </w:r>
    </w:p>
    <w:p>
      <w:pPr>
        <w:topLinePunct/>
        <w:jc w:val="left"/>
        <w:rPr>
          <w:rFonts w:eastAsia="方正仿宋_GBK"/>
          <w:b/>
          <w:bCs/>
          <w:color w:val="000000"/>
        </w:rPr>
      </w:pP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1.财政拨款收入：指单位从同级财政部门取得的财政预算资金。</w:t>
      </w: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2.事业收入：指事业单位开展专业业务活动及辅助活动取得的收入。如…（二级预算单位事业收入情况）等。</w:t>
      </w: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3.经营收入：指事业单位在专业业务活动及其辅助活动之外开展非独立核算经营活动取得的收入。如…（二级预算单位经营收入情况）等。</w:t>
      </w: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4.其他收入：指单位取得的除上述收入以外的各项收入。主要是…（收入类型）等。</w:t>
      </w: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5.使用非财政拨款结余：指事业单位使用以前年度积累的非财政拨款结余弥补当年收支差额的金额。</w:t>
      </w: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6.年初结转和结余：指以前年度尚未完成、结转到本年按有关规定继续使用的资金。</w:t>
      </w: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7.结余分配：指事业单位按照会计制度规定缴纳的所得税、提取的专用结余以及转入非财政拨款结余的金额等。</w:t>
      </w: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8、年末结转和结余：指单位按有关规定结转到下年或以后年度继续使用的资金。</w:t>
      </w: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.基本支出：指为保障机构正常运转、完成日常工作任务而发生的人员支出和公用支出。</w:t>
      </w: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.项目支出：指在基本支出之外为完成特定行政任务和事业发展目标所发生的支出。</w:t>
      </w: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w:t>
      </w:r>
      <w:r>
        <w:rPr>
          <w:rFonts w:ascii="Times New Roman" w:hAnsi="Times New Roman" w:eastAsia="方正仿宋_GBK" w:cs="Times New Roman"/>
          <w:sz w:val="32"/>
          <w:szCs w:val="32"/>
        </w:rPr>
        <w:t>.经营支出：指事业单位在专业业务活动及其辅助活动之外开展非独立核算经营活动发生的支出。</w:t>
      </w:r>
    </w:p>
    <w:p>
      <w:pPr>
        <w:pStyle w:val="10"/>
        <w:topLinePunct/>
        <w:autoSpaceDE/>
        <w:autoSpaceDN/>
        <w:spacing w:line="540" w:lineRule="exact"/>
        <w:ind w:firstLine="632"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0"/>
        <w:topLinePunct/>
        <w:autoSpaceDE/>
        <w:autoSpaceDN/>
        <w:spacing w:line="540" w:lineRule="exact"/>
        <w:ind w:firstLine="632" w:firstLineChars="200"/>
        <w:rPr>
          <w:rFonts w:hint="eastAsia" w:eastAsia="方正仿宋_GBK"/>
          <w:u w:val="single"/>
          <w:lang w:eastAsia="zh-CN"/>
        </w:rPr>
        <w:sectPr>
          <w:pgSz w:w="11906" w:h="16838"/>
          <w:pgMar w:top="2098" w:right="1531" w:bottom="1985" w:left="1531" w:header="851" w:footer="1418" w:gutter="0"/>
          <w:cols w:space="720" w:num="1"/>
          <w:docGrid w:type="linesAndChars" w:linePitch="579" w:charSpace="-849"/>
        </w:sectPr>
      </w:pPr>
      <w:r>
        <w:rPr>
          <w:rFonts w:hint="eastAsia" w:ascii="Times New Roman" w:hAnsi="Times New Roman" w:eastAsia="方正仿宋_GBK" w:cs="Times New Roman"/>
          <w:sz w:val="32"/>
          <w:szCs w:val="32"/>
          <w:lang w:val="en-US" w:eastAsia="zh-CN"/>
        </w:rPr>
        <w:t>13</w:t>
      </w:r>
      <w:r>
        <w:rPr>
          <w:rFonts w:ascii="Times New Roman" w:hAnsi="Times New Roman" w:eastAsia="方正仿宋_GBK"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方正仿宋_GBK" w:cs="Times New Roman"/>
          <w:sz w:val="32"/>
          <w:szCs w:val="32"/>
          <w:lang w:eastAsia="zh-CN"/>
        </w:rPr>
        <w:t>。</w:t>
      </w:r>
    </w:p>
    <w:p>
      <w:pPr>
        <w:pStyle w:val="2"/>
        <w:keepNext w:val="0"/>
        <w:keepLines w:val="0"/>
        <w:topLinePunct/>
        <w:spacing w:before="0" w:after="0" w:line="240" w:lineRule="auto"/>
        <w:jc w:val="center"/>
        <w:rPr>
          <w:rFonts w:hint="eastAsia" w:ascii="Calibri" w:hAnsi="Calibri" w:eastAsia="方正黑体_GBK" w:cs="Times New Roman"/>
          <w:b w:val="0"/>
          <w:bCs w:val="0"/>
          <w:sz w:val="32"/>
          <w:szCs w:val="32"/>
        </w:rPr>
      </w:pPr>
      <w:r>
        <w:rPr>
          <w:rFonts w:hint="eastAsia" w:ascii="Calibri" w:hAnsi="Calibri" w:eastAsia="方正黑体_GBK" w:cs="Times New Roman"/>
          <w:b w:val="0"/>
          <w:bCs w:val="0"/>
          <w:sz w:val="32"/>
          <w:szCs w:val="32"/>
        </w:rPr>
        <w:t>空表说明</w:t>
      </w:r>
    </w:p>
    <w:p/>
    <w:p>
      <w:pPr>
        <w:pStyle w:val="11"/>
        <w:ind w:firstLine="547" w:firstLineChars="171"/>
        <w:rPr>
          <w:sz w:val="32"/>
          <w:szCs w:val="32"/>
        </w:rPr>
      </w:pPr>
      <w:r>
        <w:rPr>
          <w:rFonts w:hint="eastAsia"/>
          <w:sz w:val="32"/>
          <w:szCs w:val="32"/>
        </w:rPr>
        <w:t>因202</w:t>
      </w:r>
      <w:r>
        <w:rPr>
          <w:rFonts w:hint="eastAsia"/>
          <w:sz w:val="32"/>
          <w:szCs w:val="32"/>
          <w:lang w:val="en-US" w:eastAsia="zh-CN"/>
        </w:rPr>
        <w:t>2</w:t>
      </w:r>
      <w:r>
        <w:rPr>
          <w:rFonts w:hint="eastAsia"/>
          <w:sz w:val="32"/>
          <w:szCs w:val="32"/>
        </w:rPr>
        <w:t>年</w:t>
      </w:r>
      <w:r>
        <w:rPr>
          <w:rFonts w:hint="eastAsia"/>
          <w:sz w:val="32"/>
          <w:szCs w:val="32"/>
          <w:lang w:eastAsia="zh-CN"/>
        </w:rPr>
        <w:t>本单位</w:t>
      </w:r>
      <w:r>
        <w:rPr>
          <w:rFonts w:hint="eastAsia"/>
          <w:sz w:val="32"/>
          <w:szCs w:val="32"/>
        </w:rPr>
        <w:t>无财政拨款“三公”经费支出、政府性基金支出的预算。故附件</w:t>
      </w:r>
      <w:r>
        <w:rPr>
          <w:rFonts w:hint="eastAsia"/>
          <w:sz w:val="32"/>
          <w:szCs w:val="32"/>
          <w:lang w:eastAsia="zh-CN"/>
        </w:rPr>
        <w:t>《</w:t>
      </w:r>
      <w:r>
        <w:rPr>
          <w:rFonts w:hint="eastAsia"/>
          <w:sz w:val="32"/>
          <w:szCs w:val="32"/>
          <w:lang w:val="en-US" w:eastAsia="zh-CN"/>
        </w:rPr>
        <w:t>2022年成都儿童专科医院部门预算公开表</w:t>
      </w:r>
      <w:r>
        <w:rPr>
          <w:rFonts w:hint="eastAsia"/>
          <w:sz w:val="32"/>
          <w:szCs w:val="32"/>
          <w:lang w:eastAsia="zh-CN"/>
        </w:rPr>
        <w:t>》</w:t>
      </w:r>
      <w:r>
        <w:rPr>
          <w:rFonts w:hint="eastAsia"/>
          <w:sz w:val="32"/>
          <w:szCs w:val="32"/>
        </w:rPr>
        <w:t>中，一般公共预算“三公”经费支出表</w:t>
      </w:r>
      <w:r>
        <w:rPr>
          <w:rFonts w:hint="eastAsia"/>
          <w:sz w:val="32"/>
          <w:szCs w:val="32"/>
          <w:lang w:eastAsia="zh-CN"/>
        </w:rPr>
        <w:t>、</w:t>
      </w:r>
      <w:r>
        <w:rPr>
          <w:rFonts w:hint="eastAsia"/>
          <w:sz w:val="32"/>
          <w:szCs w:val="32"/>
        </w:rPr>
        <w:t>政府性基金预算支出表</w:t>
      </w:r>
      <w:r>
        <w:rPr>
          <w:rFonts w:hint="eastAsia"/>
          <w:sz w:val="32"/>
          <w:szCs w:val="32"/>
          <w:lang w:eastAsia="zh-CN"/>
        </w:rPr>
        <w:t>、政府性基金预算“三公”经费支出表三</w:t>
      </w:r>
      <w:r>
        <w:rPr>
          <w:rFonts w:hint="eastAsia"/>
          <w:sz w:val="32"/>
          <w:szCs w:val="32"/>
        </w:rPr>
        <w:t>张表为空表。</w:t>
      </w:r>
      <w:bookmarkStart w:id="0" w:name="_GoBack"/>
      <w:bookmarkEnd w:id="0"/>
    </w:p>
    <w:p>
      <w:pPr>
        <w:ind w:firstLine="420" w:firstLineChars="200"/>
        <w:rPr>
          <w:rFonts w:hint="eastAsia" w:ascii="Times New Roman" w:hAnsi="Times New Roman" w:eastAsia="方正楷体"/>
        </w:rPr>
      </w:pPr>
    </w:p>
    <w:p>
      <w:pPr>
        <w:rPr>
          <w:rFonts w:hint="eastAsia" w:asciiTheme="minorEastAsia" w:hAnsiTheme="minorEastAsia" w:eastAsia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00000" w:csb1="00000000"/>
  </w:font>
  <w:font w:name="方正黑体">
    <w:altName w:val="黑体"/>
    <w:panose1 w:val="00000000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00000" w:csb1="00000000"/>
  </w:font>
  <w:font w:name="方正仿宋_GBK">
    <w:altName w:val="Arial Unicode MS"/>
    <w:panose1 w:val="03000509000000000000"/>
    <w:charset w:val="86"/>
    <w:family w:val="script"/>
    <w:pitch w:val="default"/>
    <w:sig w:usb0="00000000" w:usb1="00000000" w:usb2="00000000" w:usb3="00000000" w:csb0="00000000" w:csb1="00000000"/>
  </w:font>
  <w:font w:name="方正楷体_GBK">
    <w:altName w:val="Arial Unicode MS"/>
    <w:panose1 w:val="03000509000000000000"/>
    <w:charset w:val="86"/>
    <w:family w:val="script"/>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仿宋">
    <w:altName w:val="仿宋"/>
    <w:panose1 w:val="00000000000000000000"/>
    <w:charset w:val="86"/>
    <w:family w:val="script"/>
    <w:pitch w:val="default"/>
    <w:sig w:usb0="00000000" w:usb1="00000000" w:usb2="00000010" w:usb3="00000000" w:csb0="00040000" w:csb1="00000000"/>
  </w:font>
  <w:font w:name="方正楷体">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040A"/>
    <w:rsid w:val="000A1202"/>
    <w:rsid w:val="000F648F"/>
    <w:rsid w:val="001F2DB7"/>
    <w:rsid w:val="00377C7D"/>
    <w:rsid w:val="0039040A"/>
    <w:rsid w:val="00480E88"/>
    <w:rsid w:val="004B2F2D"/>
    <w:rsid w:val="00546E20"/>
    <w:rsid w:val="00552C1B"/>
    <w:rsid w:val="005858A5"/>
    <w:rsid w:val="005B07CB"/>
    <w:rsid w:val="005B09E7"/>
    <w:rsid w:val="0066466E"/>
    <w:rsid w:val="007163F3"/>
    <w:rsid w:val="0082751E"/>
    <w:rsid w:val="00904BE2"/>
    <w:rsid w:val="00BB579F"/>
    <w:rsid w:val="00C74BEA"/>
    <w:rsid w:val="00CB1B30"/>
    <w:rsid w:val="00D8147A"/>
    <w:rsid w:val="00E13962"/>
    <w:rsid w:val="05D40B32"/>
    <w:rsid w:val="10AA5642"/>
    <w:rsid w:val="14EF6FAA"/>
    <w:rsid w:val="15623576"/>
    <w:rsid w:val="17C1263F"/>
    <w:rsid w:val="19424604"/>
    <w:rsid w:val="1EBB4EBE"/>
    <w:rsid w:val="213C4110"/>
    <w:rsid w:val="2A46431F"/>
    <w:rsid w:val="2D431112"/>
    <w:rsid w:val="46446C11"/>
    <w:rsid w:val="473A542F"/>
    <w:rsid w:val="489D725F"/>
    <w:rsid w:val="50F92A8D"/>
    <w:rsid w:val="5352015A"/>
    <w:rsid w:val="56026CD6"/>
    <w:rsid w:val="566B78AC"/>
    <w:rsid w:val="784B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p0"/>
    <w:basedOn w:val="1"/>
    <w:unhideWhenUsed/>
    <w:qFormat/>
    <w:uiPriority w:val="0"/>
    <w:pPr>
      <w:widowControl/>
    </w:pPr>
    <w:rPr>
      <w:rFonts w:hint="eastAsia"/>
    </w:rPr>
  </w:style>
  <w:style w:type="paragraph" w:customStyle="1" w:styleId="1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6DF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508</Words>
  <Characters>2898</Characters>
  <Lines>24</Lines>
  <Paragraphs>6</Paragraphs>
  <TotalTime>2</TotalTime>
  <ScaleCrop>false</ScaleCrop>
  <LinksUpToDate>false</LinksUpToDate>
  <CharactersWithSpaces>3400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2022-01-06T07:58:00Z</dcterms:created>
  <dc:creator>CD</dc:creator>
  <cp:lastModifiedBy>Administrator</cp:lastModifiedBy>
  <dcterms:modified xsi:type="dcterms:W3CDTF">2022-08-25T04:01:29Z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D6387C10DFB64E3C8ACC3490E933D1B1</vt:lpwstr>
  </property>
</Properties>
</file>