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eastAsia"/>
        </w:rPr>
      </w:pPr>
    </w:p>
    <w:p>
      <w:pPr>
        <w:pStyle w:val="9"/>
        <w:rPr>
          <w:rFonts w:hint="eastAsia"/>
        </w:rPr>
      </w:pPr>
    </w:p>
    <w:p>
      <w:pPr>
        <w:pStyle w:val="9"/>
        <w:rPr>
          <w:rFonts w:hint="eastAsia"/>
        </w:rPr>
      </w:pPr>
    </w:p>
    <w:p>
      <w:pPr>
        <w:spacing w:line="288" w:lineRule="auto"/>
        <w:jc w:val="center"/>
        <w:rPr>
          <w:rFonts w:hint="eastAsia" w:ascii="宋体" w:hAnsi="宋体" w:cs="宋体"/>
          <w:b/>
          <w:sz w:val="36"/>
          <w:szCs w:val="30"/>
          <w:lang w:eastAsia="zh-CN"/>
        </w:rPr>
      </w:pPr>
      <w:r>
        <w:rPr>
          <w:rFonts w:hint="eastAsia" w:ascii="宋体" w:hAnsi="宋体" w:cs="宋体"/>
          <w:b/>
          <w:sz w:val="36"/>
          <w:szCs w:val="30"/>
        </w:rPr>
        <w:t xml:space="preserve"> 项目名称：成都儿童专科医院</w:t>
      </w:r>
      <w:r>
        <w:rPr>
          <w:rFonts w:hint="eastAsia" w:ascii="宋体" w:hAnsi="宋体" w:cs="宋体"/>
          <w:b/>
          <w:sz w:val="36"/>
          <w:szCs w:val="30"/>
          <w:lang w:eastAsia="zh-CN"/>
        </w:rPr>
        <w:t>空调维保服务采购项目</w:t>
      </w:r>
    </w:p>
    <w:p>
      <w:pPr>
        <w:pStyle w:val="2"/>
        <w:rPr>
          <w:rFonts w:hint="eastAsia" w:ascii="宋体" w:hAnsi="宋体" w:cs="宋体"/>
          <w:b/>
          <w:sz w:val="36"/>
          <w:szCs w:val="30"/>
          <w:lang w:eastAsia="zh-CN"/>
        </w:rPr>
      </w:pPr>
    </w:p>
    <w:p>
      <w:pPr>
        <w:rPr>
          <w:rFonts w:hint="eastAsia"/>
          <w:lang w:eastAsia="zh-CN"/>
        </w:rPr>
      </w:pPr>
    </w:p>
    <w:p>
      <w:pPr>
        <w:rPr>
          <w:rFonts w:hint="eastAsia"/>
          <w:lang w:eastAsia="zh-CN"/>
        </w:rPr>
      </w:pPr>
    </w:p>
    <w:p>
      <w:pPr>
        <w:spacing w:line="288" w:lineRule="auto"/>
        <w:jc w:val="center"/>
        <w:rPr>
          <w:rFonts w:hint="eastAsia" w:ascii="宋体" w:hAnsi="宋体" w:cs="宋体"/>
          <w:b/>
          <w:sz w:val="84"/>
          <w:szCs w:val="84"/>
          <w:lang w:eastAsia="zh-CN"/>
        </w:rPr>
      </w:pPr>
      <w:r>
        <w:rPr>
          <w:rFonts w:hint="eastAsia" w:ascii="宋体" w:hAnsi="宋体" w:cs="宋体"/>
          <w:b/>
          <w:sz w:val="84"/>
          <w:szCs w:val="84"/>
          <w:lang w:eastAsia="zh-CN"/>
        </w:rPr>
        <w:t>磋</w:t>
      </w:r>
    </w:p>
    <w:p>
      <w:pPr>
        <w:spacing w:line="288" w:lineRule="auto"/>
        <w:jc w:val="center"/>
        <w:rPr>
          <w:rFonts w:hint="eastAsia" w:ascii="宋体" w:hAnsi="宋体" w:cs="宋体"/>
          <w:b/>
          <w:sz w:val="84"/>
          <w:szCs w:val="84"/>
          <w:lang w:eastAsia="zh-CN"/>
        </w:rPr>
      </w:pPr>
      <w:r>
        <w:rPr>
          <w:rFonts w:hint="eastAsia" w:ascii="宋体" w:hAnsi="宋体" w:cs="宋体"/>
          <w:b/>
          <w:sz w:val="84"/>
          <w:szCs w:val="84"/>
          <w:lang w:eastAsia="zh-CN"/>
        </w:rPr>
        <w:t>商</w:t>
      </w:r>
    </w:p>
    <w:p>
      <w:pPr>
        <w:spacing w:line="288" w:lineRule="auto"/>
        <w:jc w:val="center"/>
        <w:rPr>
          <w:rFonts w:hint="eastAsia" w:ascii="宋体" w:hAnsi="宋体" w:cs="宋体"/>
          <w:b/>
          <w:sz w:val="84"/>
          <w:szCs w:val="84"/>
        </w:rPr>
      </w:pPr>
      <w:r>
        <w:rPr>
          <w:rFonts w:hint="eastAsia" w:ascii="宋体" w:hAnsi="宋体" w:cs="宋体"/>
          <w:b/>
          <w:sz w:val="84"/>
          <w:szCs w:val="84"/>
        </w:rPr>
        <w:t>文</w:t>
      </w:r>
    </w:p>
    <w:p>
      <w:pPr>
        <w:spacing w:line="288" w:lineRule="auto"/>
        <w:jc w:val="center"/>
        <w:rPr>
          <w:rFonts w:hint="eastAsia" w:ascii="宋体" w:hAnsi="宋体" w:cs="宋体"/>
          <w:b/>
          <w:sz w:val="84"/>
          <w:szCs w:val="84"/>
        </w:rPr>
      </w:pPr>
      <w:r>
        <w:rPr>
          <w:rFonts w:hint="eastAsia" w:ascii="宋体" w:hAnsi="宋体" w:cs="宋体"/>
          <w:b/>
          <w:sz w:val="84"/>
          <w:szCs w:val="84"/>
        </w:rPr>
        <w:t>件</w:t>
      </w:r>
    </w:p>
    <w:p>
      <w:pPr>
        <w:spacing w:line="360" w:lineRule="auto"/>
        <w:jc w:val="center"/>
        <w:rPr>
          <w:rFonts w:hint="eastAsia" w:ascii="宋体" w:hAnsi="宋体" w:cs="宋体"/>
          <w:b/>
          <w:sz w:val="52"/>
          <w:szCs w:val="52"/>
        </w:rPr>
      </w:pPr>
    </w:p>
    <w:p>
      <w:pPr>
        <w:pStyle w:val="9"/>
        <w:rPr>
          <w:rFonts w:hint="eastAsia"/>
        </w:rPr>
      </w:pPr>
    </w:p>
    <w:p>
      <w:pPr>
        <w:pStyle w:val="9"/>
        <w:rPr>
          <w:rFonts w:hint="eastAsia"/>
        </w:rPr>
      </w:pPr>
    </w:p>
    <w:p>
      <w:pPr>
        <w:pStyle w:val="9"/>
        <w:rPr>
          <w:rFonts w:hint="eastAsia" w:hAnsi="宋体"/>
          <w:b/>
          <w:sz w:val="52"/>
          <w:szCs w:val="52"/>
        </w:rPr>
      </w:pPr>
      <w:bookmarkStart w:id="0" w:name="_Hlt101233737"/>
      <w:bookmarkEnd w:id="0"/>
      <w:bookmarkStart w:id="1" w:name="_Hlt101843627"/>
      <w:bookmarkEnd w:id="1"/>
    </w:p>
    <w:p>
      <w:pPr>
        <w:pStyle w:val="9"/>
        <w:rPr>
          <w:rFonts w:hint="eastAsia" w:hAnsi="宋体"/>
          <w:b/>
          <w:sz w:val="52"/>
          <w:szCs w:val="52"/>
        </w:rPr>
      </w:pPr>
    </w:p>
    <w:p>
      <w:pPr>
        <w:spacing w:line="288" w:lineRule="auto"/>
        <w:jc w:val="center"/>
        <w:rPr>
          <w:rFonts w:hint="eastAsia" w:ascii="宋体" w:hAnsi="宋体" w:eastAsia="宋体" w:cs="宋体"/>
          <w:b/>
          <w:sz w:val="36"/>
          <w:szCs w:val="30"/>
        </w:rPr>
      </w:pPr>
      <w:r>
        <w:rPr>
          <w:rFonts w:hint="eastAsia" w:ascii="宋体" w:hAnsi="宋体" w:eastAsia="宋体" w:cs="宋体"/>
          <w:b/>
          <w:sz w:val="36"/>
          <w:szCs w:val="30"/>
        </w:rPr>
        <w:t xml:space="preserve"> 成都儿童专科医院</w:t>
      </w:r>
    </w:p>
    <w:p>
      <w:pPr>
        <w:spacing w:line="360" w:lineRule="auto"/>
        <w:ind w:firstLine="3602" w:firstLineChars="1196"/>
        <w:jc w:val="both"/>
        <w:rPr>
          <w:rFonts w:hint="eastAsia" w:ascii="宋体" w:hAnsi="宋体" w:cs="宋体"/>
          <w:b/>
          <w:bCs/>
          <w:sz w:val="32"/>
          <w:szCs w:val="32"/>
        </w:rPr>
        <w:sectPr>
          <w:footerReference r:id="rId3" w:type="default"/>
          <w:pgSz w:w="11907" w:h="16840"/>
          <w:pgMar w:top="1440" w:right="1559" w:bottom="1440" w:left="1474" w:header="851" w:footer="992" w:gutter="0"/>
          <w:pgNumType w:start="1"/>
          <w:cols w:space="720" w:num="1"/>
          <w:docGrid w:linePitch="312" w:charSpace="0"/>
        </w:sectPr>
      </w:pPr>
      <w:r>
        <w:rPr>
          <w:rFonts w:hint="eastAsia" w:ascii="宋体" w:hAnsi="宋体" w:cs="宋体"/>
          <w:b/>
          <w:sz w:val="30"/>
          <w:szCs w:val="30"/>
        </w:rPr>
        <w:t>202</w:t>
      </w:r>
      <w:r>
        <w:rPr>
          <w:rFonts w:hint="eastAsia" w:ascii="宋体" w:hAnsi="宋体" w:cs="宋体"/>
          <w:b/>
          <w:sz w:val="30"/>
          <w:szCs w:val="30"/>
          <w:lang w:val="en-US" w:eastAsia="zh-CN"/>
        </w:rPr>
        <w:t>2</w:t>
      </w:r>
      <w:r>
        <w:rPr>
          <w:rFonts w:hint="eastAsia" w:ascii="宋体" w:hAnsi="宋体" w:cs="宋体"/>
          <w:b/>
          <w:bCs/>
          <w:sz w:val="32"/>
          <w:szCs w:val="32"/>
          <w:lang w:val="zh-CN"/>
        </w:rPr>
        <w:t>年</w:t>
      </w:r>
      <w:r>
        <w:rPr>
          <w:rFonts w:hint="eastAsia" w:ascii="宋体" w:hAnsi="宋体" w:cs="宋体"/>
          <w:b/>
          <w:bCs/>
          <w:sz w:val="32"/>
          <w:szCs w:val="32"/>
          <w:lang w:val="en-US" w:eastAsia="zh-CN"/>
        </w:rPr>
        <w:t>3</w:t>
      </w:r>
      <w:r>
        <w:rPr>
          <w:rFonts w:hint="eastAsia" w:ascii="宋体" w:hAnsi="宋体" w:cs="宋体"/>
          <w:b/>
          <w:bCs/>
          <w:sz w:val="32"/>
          <w:szCs w:val="32"/>
          <w:lang w:val="zh-CN"/>
        </w:rPr>
        <w:t>月</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一、采购项目基本情况</w:t>
      </w:r>
    </w:p>
    <w:p>
      <w:pPr>
        <w:keepNext w:val="0"/>
        <w:keepLines w:val="0"/>
        <w:pageBreakBefore w:val="0"/>
        <w:numPr>
          <w:ilvl w:val="0"/>
          <w:numId w:val="1"/>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项目名称：成都儿童专科医院空调维保采购项目</w:t>
      </w:r>
    </w:p>
    <w:p>
      <w:pPr>
        <w:keepNext w:val="0"/>
        <w:keepLines w:val="0"/>
        <w:pageBreakBefore w:val="0"/>
        <w:numPr>
          <w:ilvl w:val="0"/>
          <w:numId w:val="1"/>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预算金额：</w:t>
      </w:r>
      <w:r>
        <w:rPr>
          <w:rFonts w:hint="eastAsia" w:ascii="仿宋_GB2312" w:hAnsi="仿宋_GB2312" w:eastAsia="仿宋_GB2312" w:cs="仿宋_GB2312"/>
          <w:sz w:val="32"/>
          <w:szCs w:val="32"/>
          <w:lang w:val="en-US" w:eastAsia="zh-CN"/>
        </w:rPr>
        <w:t>5.3万元/年、最高限价:5.3</w:t>
      </w:r>
      <w:bookmarkStart w:id="2" w:name="_GoBack"/>
      <w:bookmarkEnd w:id="2"/>
      <w:r>
        <w:rPr>
          <w:rFonts w:hint="eastAsia" w:ascii="仿宋_GB2312" w:hAnsi="仿宋_GB2312" w:eastAsia="仿宋_GB2312" w:cs="仿宋_GB2312"/>
          <w:sz w:val="32"/>
          <w:szCs w:val="32"/>
          <w:lang w:val="en-US" w:eastAsia="zh-CN"/>
        </w:rPr>
        <w:t>万元/年</w:t>
      </w:r>
    </w:p>
    <w:p>
      <w:pPr>
        <w:pStyle w:val="2"/>
        <w:keepNext w:val="0"/>
        <w:keepLines w:val="0"/>
        <w:pageBreakBefore w:val="0"/>
        <w:numPr>
          <w:ilvl w:val="0"/>
          <w:numId w:val="1"/>
        </w:numPr>
        <w:kinsoku/>
        <w:wordWrap/>
        <w:overflowPunct/>
        <w:topLinePunct w:val="0"/>
        <w:bidi w:val="0"/>
        <w:snapToGrid/>
        <w:spacing w:line="540" w:lineRule="atLeas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服务期限：服务期三年、合同一年一签</w:t>
      </w:r>
    </w:p>
    <w:p>
      <w:pPr>
        <w:pStyle w:val="2"/>
        <w:keepNext w:val="0"/>
        <w:keepLines w:val="0"/>
        <w:pageBreakBefore w:val="0"/>
        <w:numPr>
          <w:ilvl w:val="0"/>
          <w:numId w:val="1"/>
        </w:numPr>
        <w:kinsoku/>
        <w:wordWrap/>
        <w:overflowPunct/>
        <w:topLinePunct w:val="0"/>
        <w:bidi w:val="0"/>
        <w:snapToGrid/>
        <w:spacing w:line="540" w:lineRule="atLeas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资金来源：自筹资金</w:t>
      </w:r>
    </w:p>
    <w:p>
      <w:pPr>
        <w:pStyle w:val="2"/>
        <w:keepNext w:val="0"/>
        <w:keepLines w:val="0"/>
        <w:pageBreakBefore w:val="0"/>
        <w:numPr>
          <w:ilvl w:val="0"/>
          <w:numId w:val="1"/>
        </w:numPr>
        <w:kinsoku/>
        <w:wordWrap/>
        <w:overflowPunct/>
        <w:topLinePunct w:val="0"/>
        <w:bidi w:val="0"/>
        <w:snapToGrid/>
        <w:spacing w:line="540" w:lineRule="atLeas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服务地点：成都儿童专科医院（总院）、成都儿童专科医院（城北分院）</w:t>
      </w:r>
    </w:p>
    <w:p>
      <w:pPr>
        <w:pStyle w:val="3"/>
        <w:keepNext w:val="0"/>
        <w:keepLines w:val="0"/>
        <w:spacing w:line="240" w:lineRule="atLeast"/>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二、供应商须知附表</w:t>
      </w:r>
    </w:p>
    <w:tbl>
      <w:tblPr>
        <w:tblStyle w:val="6"/>
        <w:tblW w:w="9506" w:type="dxa"/>
        <w:jc w:val="center"/>
        <w:tblInd w:w="-23"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451" w:hRule="exact"/>
          <w:tblHeader/>
          <w:jc w:val="center"/>
        </w:trPr>
        <w:tc>
          <w:tcPr>
            <w:tcW w:w="1013" w:type="dxa"/>
            <w:noWrap w:val="0"/>
            <w:vAlign w:val="center"/>
          </w:tcPr>
          <w:p>
            <w:pPr>
              <w:pStyle w:val="11"/>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409" w:type="dxa"/>
            <w:noWrap w:val="0"/>
            <w:vAlign w:val="center"/>
          </w:tcPr>
          <w:p>
            <w:pPr>
              <w:pStyle w:val="11"/>
              <w:ind w:left="38"/>
              <w:jc w:val="center"/>
              <w:rPr>
                <w:color w:val="000000"/>
                <w:sz w:val="21"/>
                <w:szCs w:val="21"/>
                <w:lang w:val="zh-CN"/>
              </w:rPr>
            </w:pPr>
            <w:r>
              <w:rPr>
                <w:rFonts w:hint="eastAsia"/>
                <w:color w:val="000000"/>
                <w:sz w:val="21"/>
                <w:szCs w:val="21"/>
                <w:lang w:val="zh-CN"/>
              </w:rPr>
              <w:t>应知事项</w:t>
            </w:r>
            <w:r>
              <w:rPr>
                <w:color w:val="000000"/>
                <w:sz w:val="21"/>
                <w:szCs w:val="21"/>
                <w:lang w:val="zh-CN"/>
              </w:rPr>
              <w:t xml:space="preserve"> </w:t>
            </w:r>
          </w:p>
        </w:tc>
        <w:tc>
          <w:tcPr>
            <w:tcW w:w="6084" w:type="dxa"/>
            <w:noWrap w:val="0"/>
            <w:vAlign w:val="center"/>
          </w:tcPr>
          <w:p>
            <w:pPr>
              <w:pStyle w:val="11"/>
              <w:jc w:val="center"/>
              <w:rPr>
                <w:rFonts w:hint="eastAsia"/>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1003" w:hRule="exact"/>
          <w:jc w:val="center"/>
        </w:trPr>
        <w:tc>
          <w:tcPr>
            <w:tcW w:w="1013" w:type="dxa"/>
            <w:noWrap w:val="0"/>
            <w:vAlign w:val="center"/>
          </w:tcPr>
          <w:p>
            <w:pPr>
              <w:pStyle w:val="11"/>
              <w:ind w:right="230"/>
              <w:jc w:val="center"/>
              <w:rPr>
                <w:rFonts w:hint="eastAsia" w:cs="Courier New"/>
                <w:color w:val="000000"/>
                <w:sz w:val="21"/>
                <w:szCs w:val="21"/>
                <w:lang w:val="zh-CN"/>
              </w:rPr>
            </w:pPr>
            <w:r>
              <w:rPr>
                <w:rFonts w:hint="eastAsia" w:cs="Courier New"/>
                <w:color w:val="000000"/>
                <w:sz w:val="21"/>
                <w:szCs w:val="21"/>
                <w:lang w:val="zh-CN"/>
              </w:rPr>
              <w:t>1</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确定邀请磋商的供应商数量和方式</w:t>
            </w:r>
          </w:p>
        </w:tc>
        <w:tc>
          <w:tcPr>
            <w:tcW w:w="6084" w:type="dxa"/>
            <w:noWrap w:val="0"/>
            <w:vAlign w:val="center"/>
          </w:tcPr>
          <w:p>
            <w:pPr>
              <w:pStyle w:val="11"/>
              <w:ind w:firstLine="210" w:firstLineChars="100"/>
              <w:jc w:val="both"/>
              <w:rPr>
                <w:rFonts w:hint="eastAsia"/>
                <w:color w:val="000000"/>
                <w:sz w:val="21"/>
                <w:szCs w:val="21"/>
                <w:lang w:val="zh-CN"/>
              </w:rPr>
            </w:pPr>
            <w:r>
              <w:rPr>
                <w:rFonts w:hint="eastAsia"/>
                <w:color w:val="000000"/>
                <w:sz w:val="21"/>
                <w:szCs w:val="21"/>
                <w:lang w:val="zh-CN"/>
              </w:rPr>
              <w:t>本次磋商邀请的供应商数量：所有符合本项目资格条件的供应商。若供应商不足三家，</w:t>
            </w:r>
            <w:r>
              <w:rPr>
                <w:rFonts w:hint="eastAsia"/>
                <w:color w:val="000000"/>
                <w:sz w:val="21"/>
                <w:szCs w:val="21"/>
                <w:lang w:val="en-US" w:eastAsia="zh-CN"/>
              </w:rPr>
              <w:t>该项目暂停</w:t>
            </w:r>
            <w:r>
              <w:rPr>
                <w:rFonts w:hint="eastAsia"/>
                <w:color w:val="000000"/>
                <w:sz w:val="21"/>
                <w:szCs w:val="21"/>
                <w:lang w:val="zh-CN"/>
              </w:rPr>
              <w:t>。</w:t>
            </w:r>
          </w:p>
          <w:p>
            <w:pPr>
              <w:pStyle w:val="11"/>
              <w:ind w:firstLine="210" w:firstLineChars="100"/>
              <w:jc w:val="both"/>
              <w:rPr>
                <w:rFonts w:hint="eastAsia"/>
                <w:color w:val="000000"/>
                <w:sz w:val="21"/>
                <w:szCs w:val="21"/>
                <w:lang w:val="zh-CN"/>
              </w:rPr>
            </w:pPr>
            <w:r>
              <w:rPr>
                <w:rFonts w:hint="eastAsia"/>
                <w:color w:val="000000"/>
                <w:sz w:val="21"/>
                <w:szCs w:val="21"/>
                <w:lang w:val="zh-CN"/>
              </w:rPr>
              <w:t>本次采购采取发布公告的方式邀请参加磋商的供应商。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403" w:hRule="exact"/>
          <w:jc w:val="center"/>
        </w:trPr>
        <w:tc>
          <w:tcPr>
            <w:tcW w:w="1013" w:type="dxa"/>
            <w:noWrap w:val="0"/>
            <w:vAlign w:val="center"/>
          </w:tcPr>
          <w:p>
            <w:pPr>
              <w:pStyle w:val="11"/>
              <w:ind w:right="230"/>
              <w:jc w:val="center"/>
              <w:rPr>
                <w:rFonts w:hint="eastAsia" w:eastAsia="宋体" w:cs="Courier New"/>
                <w:color w:val="000000"/>
                <w:sz w:val="21"/>
                <w:szCs w:val="21"/>
                <w:lang w:val="en-US" w:eastAsia="zh-CN"/>
              </w:rPr>
            </w:pPr>
            <w:r>
              <w:rPr>
                <w:rFonts w:hint="eastAsia" w:cs="Courier New"/>
                <w:color w:val="000000"/>
                <w:sz w:val="21"/>
                <w:szCs w:val="21"/>
                <w:lang w:val="en-US" w:eastAsia="zh-CN"/>
              </w:rPr>
              <w:t>2</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联合体</w:t>
            </w:r>
          </w:p>
        </w:tc>
        <w:tc>
          <w:tcPr>
            <w:tcW w:w="6084" w:type="dxa"/>
            <w:noWrap w:val="0"/>
            <w:vAlign w:val="center"/>
          </w:tcPr>
          <w:p>
            <w:pPr>
              <w:pStyle w:val="11"/>
              <w:ind w:firstLine="210" w:firstLineChars="100"/>
              <w:jc w:val="both"/>
              <w:rPr>
                <w:rFonts w:hint="eastAsia"/>
                <w:color w:val="000000"/>
                <w:sz w:val="21"/>
                <w:szCs w:val="21"/>
                <w:lang w:val="zh-CN"/>
              </w:rPr>
            </w:pPr>
            <w:r>
              <w:rPr>
                <w:rFonts w:hint="eastAsia"/>
                <w:color w:val="000000"/>
                <w:sz w:val="21"/>
                <w:szCs w:val="21"/>
                <w:lang w:val="zh-CN"/>
              </w:rPr>
              <w:t>不允许联合体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701" w:hRule="exact"/>
          <w:jc w:val="center"/>
        </w:trPr>
        <w:tc>
          <w:tcPr>
            <w:tcW w:w="1013" w:type="dxa"/>
            <w:noWrap w:val="0"/>
            <w:vAlign w:val="center"/>
          </w:tcPr>
          <w:p>
            <w:pPr>
              <w:pStyle w:val="11"/>
              <w:ind w:right="230"/>
              <w:jc w:val="center"/>
              <w:rPr>
                <w:rFonts w:hint="eastAsia" w:eastAsia="宋体" w:cs="Courier New"/>
                <w:color w:val="000000"/>
                <w:sz w:val="21"/>
                <w:szCs w:val="21"/>
                <w:lang w:val="zh-CN" w:eastAsia="zh-CN"/>
              </w:rPr>
            </w:pPr>
            <w:r>
              <w:rPr>
                <w:rFonts w:hint="eastAsia" w:cs="Courier New"/>
                <w:color w:val="000000"/>
                <w:sz w:val="21"/>
                <w:szCs w:val="21"/>
                <w:lang w:val="en-US" w:eastAsia="zh-CN"/>
              </w:rPr>
              <w:t>3</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磋商情况公告</w:t>
            </w:r>
          </w:p>
        </w:tc>
        <w:tc>
          <w:tcPr>
            <w:tcW w:w="6084" w:type="dxa"/>
            <w:noWrap w:val="0"/>
            <w:vAlign w:val="center"/>
          </w:tcPr>
          <w:p>
            <w:pPr>
              <w:pStyle w:val="11"/>
              <w:ind w:firstLine="210" w:firstLineChars="100"/>
              <w:jc w:val="both"/>
              <w:rPr>
                <w:rFonts w:hint="eastAsia"/>
                <w:color w:val="000000"/>
                <w:sz w:val="21"/>
                <w:szCs w:val="21"/>
                <w:lang w:val="zh-CN"/>
              </w:rPr>
            </w:pPr>
            <w:r>
              <w:rPr>
                <w:rFonts w:hint="eastAsia"/>
                <w:color w:val="000000"/>
                <w:sz w:val="21"/>
                <w:szCs w:val="21"/>
                <w:lang w:val="zh-CN"/>
              </w:rPr>
              <w:t>磋商结果在成都儿童专科医院官网上予以公告。</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818" w:hRule="exact"/>
          <w:jc w:val="center"/>
        </w:trPr>
        <w:tc>
          <w:tcPr>
            <w:tcW w:w="1013" w:type="dxa"/>
            <w:noWrap w:val="0"/>
            <w:vAlign w:val="center"/>
          </w:tcPr>
          <w:p>
            <w:pPr>
              <w:pStyle w:val="11"/>
              <w:ind w:right="230"/>
              <w:jc w:val="center"/>
              <w:rPr>
                <w:rFonts w:hint="eastAsia" w:eastAsia="宋体" w:cs="Courier New"/>
                <w:color w:val="000000"/>
                <w:sz w:val="21"/>
                <w:szCs w:val="21"/>
                <w:lang w:val="zh-CN" w:eastAsia="zh-CN"/>
              </w:rPr>
            </w:pPr>
            <w:r>
              <w:rPr>
                <w:rFonts w:hint="eastAsia" w:cs="Courier New"/>
                <w:color w:val="000000"/>
                <w:sz w:val="21"/>
                <w:szCs w:val="21"/>
                <w:lang w:val="en-US" w:eastAsia="zh-CN"/>
              </w:rPr>
              <w:t>4</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履约保证金</w:t>
            </w:r>
          </w:p>
        </w:tc>
        <w:tc>
          <w:tcPr>
            <w:tcW w:w="6084" w:type="dxa"/>
            <w:noWrap w:val="0"/>
            <w:vAlign w:val="center"/>
          </w:tcPr>
          <w:p>
            <w:pPr>
              <w:pStyle w:val="11"/>
              <w:ind w:firstLine="210" w:firstLineChars="100"/>
              <w:jc w:val="both"/>
              <w:rPr>
                <w:rFonts w:hint="default" w:eastAsia="宋体"/>
                <w:color w:val="000000"/>
                <w:sz w:val="21"/>
                <w:szCs w:val="21"/>
                <w:lang w:val="en-US" w:eastAsia="zh-CN"/>
              </w:rPr>
            </w:pPr>
            <w:r>
              <w:rPr>
                <w:rFonts w:hint="eastAsia"/>
                <w:color w:val="000000"/>
                <w:sz w:val="21"/>
                <w:szCs w:val="21"/>
                <w:lang w:val="en-US" w:eastAsia="zh-CN"/>
              </w:rPr>
              <w:t>无履约保证金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718" w:hRule="exact"/>
          <w:jc w:val="center"/>
        </w:trPr>
        <w:tc>
          <w:tcPr>
            <w:tcW w:w="1013" w:type="dxa"/>
            <w:noWrap w:val="0"/>
            <w:vAlign w:val="center"/>
          </w:tcPr>
          <w:p>
            <w:pPr>
              <w:pStyle w:val="11"/>
              <w:ind w:right="230"/>
              <w:jc w:val="center"/>
              <w:rPr>
                <w:rFonts w:hint="eastAsia" w:eastAsia="宋体" w:cs="Courier New"/>
                <w:color w:val="000000"/>
                <w:sz w:val="21"/>
                <w:szCs w:val="21"/>
                <w:lang w:eastAsia="zh-CN"/>
              </w:rPr>
            </w:pPr>
            <w:r>
              <w:rPr>
                <w:rFonts w:hint="eastAsia" w:cs="Courier New"/>
                <w:color w:val="000000"/>
                <w:sz w:val="21"/>
                <w:szCs w:val="21"/>
                <w:lang w:val="en-US" w:eastAsia="zh-CN"/>
              </w:rPr>
              <w:t>5</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现场踏勘</w:t>
            </w:r>
          </w:p>
        </w:tc>
        <w:tc>
          <w:tcPr>
            <w:tcW w:w="6084" w:type="dxa"/>
            <w:noWrap w:val="0"/>
            <w:vAlign w:val="center"/>
          </w:tcPr>
          <w:p>
            <w:pPr>
              <w:pStyle w:val="11"/>
              <w:ind w:firstLine="210" w:firstLineChars="100"/>
              <w:jc w:val="both"/>
              <w:rPr>
                <w:rFonts w:hint="eastAsia"/>
                <w:color w:val="000000"/>
                <w:sz w:val="21"/>
                <w:szCs w:val="21"/>
                <w:lang w:val="zh-CN"/>
              </w:rPr>
            </w:pPr>
            <w:r>
              <w:rPr>
                <w:rFonts w:hint="eastAsia"/>
                <w:color w:val="000000"/>
                <w:sz w:val="21"/>
                <w:szCs w:val="21"/>
              </w:rPr>
              <w:t>本项目不统一组织，由供应商自行现场踏勘，费用自行承担。现场踏勘联系人：李老师 电话：028-61318342</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610" w:hRule="exact"/>
          <w:jc w:val="center"/>
        </w:trPr>
        <w:tc>
          <w:tcPr>
            <w:tcW w:w="1013" w:type="dxa"/>
            <w:noWrap w:val="0"/>
            <w:vAlign w:val="center"/>
          </w:tcPr>
          <w:p>
            <w:pPr>
              <w:pStyle w:val="11"/>
              <w:ind w:right="230"/>
              <w:jc w:val="center"/>
              <w:rPr>
                <w:rFonts w:hint="eastAsia" w:eastAsia="宋体" w:cs="Courier New"/>
                <w:color w:val="000000"/>
                <w:sz w:val="21"/>
                <w:szCs w:val="21"/>
                <w:lang w:val="zh-CN" w:eastAsia="zh-CN"/>
              </w:rPr>
            </w:pPr>
            <w:r>
              <w:rPr>
                <w:rFonts w:hint="eastAsia" w:cs="Courier New"/>
                <w:color w:val="000000"/>
                <w:sz w:val="21"/>
                <w:szCs w:val="21"/>
                <w:lang w:val="en-US" w:eastAsia="zh-CN"/>
              </w:rPr>
              <w:t>6</w:t>
            </w:r>
          </w:p>
        </w:tc>
        <w:tc>
          <w:tcPr>
            <w:tcW w:w="2409" w:type="dxa"/>
            <w:noWrap w:val="0"/>
            <w:vAlign w:val="center"/>
          </w:tcPr>
          <w:p>
            <w:pPr>
              <w:pStyle w:val="11"/>
              <w:ind w:left="38"/>
              <w:jc w:val="center"/>
              <w:rPr>
                <w:rFonts w:hint="eastAsia"/>
                <w:color w:val="000000"/>
                <w:sz w:val="21"/>
                <w:szCs w:val="21"/>
                <w:lang w:val="zh-CN"/>
              </w:rPr>
            </w:pPr>
            <w:r>
              <w:rPr>
                <w:rFonts w:hint="eastAsia"/>
                <w:bCs/>
                <w:color w:val="000000"/>
                <w:sz w:val="21"/>
                <w:szCs w:val="21"/>
              </w:rPr>
              <w:t>磋商</w:t>
            </w:r>
            <w:r>
              <w:rPr>
                <w:rFonts w:hint="eastAsia"/>
                <w:color w:val="000000"/>
                <w:sz w:val="21"/>
                <w:szCs w:val="21"/>
                <w:lang w:val="zh-CN"/>
              </w:rPr>
              <w:t>文件咨询</w:t>
            </w:r>
          </w:p>
        </w:tc>
        <w:tc>
          <w:tcPr>
            <w:tcW w:w="6084" w:type="dxa"/>
            <w:noWrap w:val="0"/>
            <w:vAlign w:val="center"/>
          </w:tcPr>
          <w:p>
            <w:pPr>
              <w:pStyle w:val="11"/>
              <w:ind w:firstLine="210" w:firstLineChars="100"/>
              <w:jc w:val="both"/>
              <w:rPr>
                <w:rFonts w:hint="eastAsia"/>
                <w:color w:val="000000"/>
                <w:sz w:val="21"/>
                <w:szCs w:val="21"/>
                <w:lang w:val="zh-CN"/>
              </w:rPr>
            </w:pPr>
            <w:r>
              <w:rPr>
                <w:rFonts w:hint="eastAsia"/>
                <w:color w:val="000000"/>
                <w:sz w:val="21"/>
                <w:szCs w:val="21"/>
                <w:lang w:val="zh-CN"/>
              </w:rPr>
              <w:t>联系人：</w:t>
            </w:r>
            <w:r>
              <w:rPr>
                <w:rFonts w:hint="eastAsia"/>
                <w:color w:val="000000"/>
                <w:sz w:val="21"/>
                <w:szCs w:val="21"/>
              </w:rPr>
              <w:t>李老师</w:t>
            </w:r>
            <w:r>
              <w:rPr>
                <w:rFonts w:hint="eastAsia"/>
                <w:color w:val="000000"/>
                <w:sz w:val="21"/>
                <w:szCs w:val="21"/>
                <w:lang w:val="zh-CN"/>
              </w:rPr>
              <w:t xml:space="preserve">    </w:t>
            </w:r>
          </w:p>
          <w:p>
            <w:pPr>
              <w:pStyle w:val="11"/>
              <w:ind w:firstLine="210" w:firstLineChars="100"/>
              <w:jc w:val="both"/>
              <w:rPr>
                <w:rFonts w:hint="eastAsia"/>
                <w:color w:val="000000"/>
                <w:sz w:val="21"/>
                <w:szCs w:val="21"/>
                <w:lang w:val="zh-CN"/>
              </w:rPr>
            </w:pPr>
            <w:r>
              <w:rPr>
                <w:rFonts w:hint="eastAsia"/>
                <w:color w:val="000000"/>
                <w:sz w:val="21"/>
                <w:szCs w:val="21"/>
                <w:lang w:val="zh-CN"/>
              </w:rPr>
              <w:t>联系电话：</w:t>
            </w:r>
            <w:r>
              <w:rPr>
                <w:rFonts w:hint="eastAsia"/>
                <w:color w:val="000000"/>
                <w:sz w:val="21"/>
                <w:szCs w:val="21"/>
              </w:rPr>
              <w:t>028-61318342</w:t>
            </w:r>
            <w:r>
              <w:rPr>
                <w:rFonts w:hint="eastAsia"/>
                <w:color w:val="000000"/>
                <w:sz w:val="21"/>
                <w:szCs w:val="21"/>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1093" w:hRule="exact"/>
          <w:jc w:val="center"/>
        </w:trPr>
        <w:tc>
          <w:tcPr>
            <w:tcW w:w="1013" w:type="dxa"/>
            <w:noWrap w:val="0"/>
            <w:vAlign w:val="center"/>
          </w:tcPr>
          <w:p>
            <w:pPr>
              <w:pStyle w:val="11"/>
              <w:ind w:right="230"/>
              <w:jc w:val="center"/>
              <w:rPr>
                <w:rFonts w:hint="eastAsia" w:eastAsia="宋体" w:cs="Courier New"/>
                <w:color w:val="000000"/>
                <w:sz w:val="21"/>
                <w:szCs w:val="21"/>
                <w:lang w:eastAsia="zh-CN"/>
              </w:rPr>
            </w:pPr>
            <w:r>
              <w:rPr>
                <w:rFonts w:hint="eastAsia" w:cs="Courier New"/>
                <w:color w:val="000000"/>
                <w:sz w:val="21"/>
                <w:szCs w:val="21"/>
                <w:lang w:val="en-US" w:eastAsia="zh-CN"/>
              </w:rPr>
              <w:t>7</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磋商过程、结果工作咨询</w:t>
            </w:r>
          </w:p>
        </w:tc>
        <w:tc>
          <w:tcPr>
            <w:tcW w:w="6084" w:type="dxa"/>
            <w:noWrap w:val="0"/>
            <w:vAlign w:val="center"/>
          </w:tcPr>
          <w:p>
            <w:pPr>
              <w:pStyle w:val="11"/>
              <w:ind w:firstLine="210" w:firstLineChars="100"/>
              <w:jc w:val="both"/>
              <w:rPr>
                <w:rFonts w:hint="eastAsia"/>
                <w:color w:val="000000"/>
                <w:sz w:val="21"/>
                <w:szCs w:val="21"/>
                <w:lang w:val="zh-CN"/>
              </w:rPr>
            </w:pPr>
            <w:r>
              <w:rPr>
                <w:rFonts w:hint="eastAsia"/>
                <w:color w:val="000000"/>
                <w:sz w:val="21"/>
                <w:szCs w:val="21"/>
                <w:lang w:val="zh-CN"/>
              </w:rPr>
              <w:t xml:space="preserve">联系人：  </w:t>
            </w:r>
            <w:r>
              <w:rPr>
                <w:rFonts w:hint="eastAsia"/>
                <w:color w:val="000000"/>
                <w:sz w:val="21"/>
                <w:szCs w:val="21"/>
              </w:rPr>
              <w:t>李老师</w:t>
            </w:r>
            <w:r>
              <w:rPr>
                <w:rFonts w:hint="eastAsia"/>
                <w:color w:val="000000"/>
                <w:sz w:val="21"/>
                <w:szCs w:val="21"/>
                <w:lang w:val="zh-CN"/>
              </w:rPr>
              <w:t xml:space="preserve">  </w:t>
            </w:r>
          </w:p>
          <w:p>
            <w:pPr>
              <w:pStyle w:val="11"/>
              <w:ind w:firstLine="210" w:firstLineChars="100"/>
              <w:jc w:val="both"/>
              <w:rPr>
                <w:rFonts w:hint="eastAsia"/>
                <w:color w:val="000000"/>
                <w:sz w:val="21"/>
                <w:szCs w:val="21"/>
                <w:lang w:val="zh-CN"/>
              </w:rPr>
            </w:pPr>
            <w:r>
              <w:rPr>
                <w:rFonts w:hint="eastAsia"/>
                <w:color w:val="000000"/>
                <w:sz w:val="21"/>
                <w:szCs w:val="21"/>
                <w:lang w:val="zh-CN"/>
              </w:rPr>
              <w:t xml:space="preserve">联系电话：  </w:t>
            </w:r>
            <w:r>
              <w:rPr>
                <w:rFonts w:hint="eastAsia"/>
                <w:color w:val="000000"/>
                <w:sz w:val="21"/>
                <w:szCs w:val="21"/>
              </w:rPr>
              <w:t>028-61318342</w:t>
            </w:r>
            <w:r>
              <w:rPr>
                <w:rFonts w:hint="eastAsia"/>
                <w:color w:val="000000"/>
                <w:sz w:val="21"/>
                <w:szCs w:val="21"/>
                <w:lang w:val="zh-CN"/>
              </w:rPr>
              <w:t xml:space="preserve">    </w:t>
            </w:r>
          </w:p>
          <w:p>
            <w:pPr>
              <w:pStyle w:val="11"/>
              <w:ind w:firstLine="210" w:firstLineChars="100"/>
              <w:jc w:val="both"/>
              <w:rPr>
                <w:rFonts w:hint="eastAsia"/>
                <w:color w:val="000000"/>
                <w:sz w:val="21"/>
                <w:szCs w:val="21"/>
                <w:lang w:val="zh-CN"/>
              </w:rPr>
            </w:pPr>
            <w:r>
              <w:rPr>
                <w:rFonts w:hint="eastAsia"/>
                <w:color w:val="000000"/>
                <w:sz w:val="21"/>
                <w:szCs w:val="21"/>
                <w:lang w:val="zh-CN"/>
              </w:rPr>
              <w:t xml:space="preserve">磋商结果会在成都儿童专科医院官网公布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Ex>
        <w:trPr>
          <w:trHeight w:val="926" w:hRule="exact"/>
          <w:jc w:val="center"/>
        </w:trPr>
        <w:tc>
          <w:tcPr>
            <w:tcW w:w="1013" w:type="dxa"/>
            <w:noWrap w:val="0"/>
            <w:vAlign w:val="center"/>
          </w:tcPr>
          <w:p>
            <w:pPr>
              <w:pStyle w:val="11"/>
              <w:ind w:right="230"/>
              <w:jc w:val="center"/>
              <w:rPr>
                <w:rFonts w:hint="eastAsia" w:eastAsia="宋体" w:cs="Courier New"/>
                <w:color w:val="000000"/>
                <w:sz w:val="21"/>
                <w:szCs w:val="21"/>
                <w:lang w:eastAsia="zh-CN"/>
              </w:rPr>
            </w:pPr>
            <w:r>
              <w:rPr>
                <w:rFonts w:hint="eastAsia" w:cs="Courier New"/>
                <w:color w:val="000000"/>
                <w:sz w:val="21"/>
                <w:szCs w:val="21"/>
                <w:lang w:val="en-US" w:eastAsia="zh-CN"/>
              </w:rPr>
              <w:t>8</w:t>
            </w:r>
          </w:p>
        </w:tc>
        <w:tc>
          <w:tcPr>
            <w:tcW w:w="2409" w:type="dxa"/>
            <w:noWrap w:val="0"/>
            <w:vAlign w:val="center"/>
          </w:tcPr>
          <w:p>
            <w:pPr>
              <w:pStyle w:val="11"/>
              <w:ind w:left="38"/>
              <w:jc w:val="center"/>
              <w:rPr>
                <w:rFonts w:hint="eastAsia"/>
                <w:color w:val="000000"/>
                <w:sz w:val="21"/>
                <w:szCs w:val="21"/>
                <w:lang w:val="zh-CN"/>
              </w:rPr>
            </w:pPr>
            <w:r>
              <w:rPr>
                <w:rFonts w:hint="eastAsia"/>
                <w:color w:val="000000"/>
                <w:sz w:val="21"/>
                <w:szCs w:val="21"/>
                <w:lang w:val="zh-CN"/>
              </w:rPr>
              <w:t>供应商询问</w:t>
            </w:r>
          </w:p>
        </w:tc>
        <w:tc>
          <w:tcPr>
            <w:tcW w:w="6084" w:type="dxa"/>
            <w:noWrap w:val="0"/>
            <w:vAlign w:val="center"/>
          </w:tcPr>
          <w:p>
            <w:pPr>
              <w:pStyle w:val="11"/>
              <w:ind w:firstLine="210" w:firstLineChars="100"/>
              <w:rPr>
                <w:rFonts w:hint="eastAsia"/>
                <w:color w:val="000000"/>
                <w:sz w:val="21"/>
                <w:szCs w:val="21"/>
                <w:lang w:val="zh-CN"/>
              </w:rPr>
            </w:pPr>
            <w:r>
              <w:rPr>
                <w:rFonts w:hint="eastAsia"/>
                <w:color w:val="000000"/>
                <w:sz w:val="21"/>
                <w:szCs w:val="21"/>
                <w:lang w:val="zh-CN"/>
              </w:rPr>
              <w:t>对于采购文件技术参数部分的询问由采购</w:t>
            </w:r>
            <w:r>
              <w:rPr>
                <w:rFonts w:hint="eastAsia"/>
                <w:color w:val="000000"/>
                <w:sz w:val="21"/>
                <w:szCs w:val="21"/>
                <w:lang w:val="en-US" w:eastAsia="zh-CN"/>
              </w:rPr>
              <w:t>专员</w:t>
            </w:r>
            <w:r>
              <w:rPr>
                <w:rFonts w:hint="eastAsia"/>
                <w:color w:val="000000"/>
                <w:sz w:val="21"/>
                <w:szCs w:val="21"/>
                <w:lang w:val="zh-CN"/>
              </w:rPr>
              <w:t>负责答复</w:t>
            </w:r>
          </w:p>
        </w:tc>
      </w:tr>
    </w:tbl>
    <w:p>
      <w:pPr>
        <w:rPr>
          <w:rFonts w:hint="eastAsia"/>
          <w:lang w:val="en-US" w:eastAsia="zh-CN"/>
        </w:rPr>
      </w:pPr>
    </w:p>
    <w:p>
      <w:pPr>
        <w:rPr>
          <w:rFonts w:hint="eastAsia"/>
          <w:lang w:val="en-US" w:eastAsia="zh-CN"/>
        </w:rPr>
      </w:pP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三、报名、</w:t>
      </w:r>
      <w:r>
        <w:rPr>
          <w:rFonts w:hint="eastAsia" w:ascii="仿宋_GB2312" w:hAnsi="仿宋_GB2312" w:eastAsia="仿宋_GB2312" w:cs="仿宋_GB2312"/>
          <w:b/>
          <w:bCs/>
          <w:sz w:val="32"/>
          <w:szCs w:val="32"/>
          <w:lang w:eastAsia="zh-CN"/>
        </w:rPr>
        <w:t>递交响应文件截止时间及方式：</w:t>
      </w:r>
    </w:p>
    <w:p>
      <w:pPr>
        <w:keepNext w:val="0"/>
        <w:keepLines w:val="0"/>
        <w:pageBreakBefore w:val="0"/>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 xml:space="preserve">1.报名截止时间：2022年3月17日16：00   </w:t>
      </w:r>
    </w:p>
    <w:p>
      <w:pPr>
        <w:keepNext w:val="0"/>
        <w:keepLines w:val="0"/>
        <w:pageBreakBefore w:val="0"/>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 xml:space="preserve">报名方式：电话报名 </w:t>
      </w:r>
    </w:p>
    <w:p>
      <w:pPr>
        <w:keepNext w:val="0"/>
        <w:keepLines w:val="0"/>
        <w:pageBreakBefore w:val="0"/>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 xml:space="preserve">联系方式：李老师028-61318342      </w:t>
      </w:r>
    </w:p>
    <w:p>
      <w:pPr>
        <w:keepNext w:val="0"/>
        <w:keepLines w:val="0"/>
        <w:pageBreakBefore w:val="0"/>
        <w:kinsoku/>
        <w:wordWrap/>
        <w:overflowPunct/>
        <w:topLinePunct w:val="0"/>
        <w:autoSpaceDE/>
        <w:autoSpaceDN/>
        <w:bidi w:val="0"/>
        <w:adjustRightInd/>
        <w:snapToGrid/>
        <w:spacing w:line="540" w:lineRule="atLeast"/>
        <w:jc w:val="left"/>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rPr>
        <w:t>响应文件递交截止时间：202</w:t>
      </w:r>
      <w:r>
        <w:rPr>
          <w:rFonts w:hint="eastAsia" w:ascii="仿宋_GB2312" w:hAnsi="仿宋_GB2312" w:eastAsia="仿宋_GB2312" w:cs="仿宋_GB2312"/>
          <w:color w:val="FF0000"/>
          <w:sz w:val="32"/>
          <w:szCs w:val="32"/>
          <w:lang w:val="en-US" w:eastAsia="zh-CN"/>
        </w:rPr>
        <w:t>2</w:t>
      </w:r>
      <w:r>
        <w:rPr>
          <w:rFonts w:hint="eastAsia" w:ascii="仿宋_GB2312" w:hAnsi="仿宋_GB2312" w:eastAsia="仿宋_GB2312" w:cs="仿宋_GB2312"/>
          <w:color w:val="FF0000"/>
          <w:sz w:val="32"/>
          <w:szCs w:val="32"/>
        </w:rPr>
        <w:t xml:space="preserve">年 </w:t>
      </w:r>
      <w:r>
        <w:rPr>
          <w:rFonts w:hint="eastAsia" w:ascii="仿宋_GB2312" w:hAnsi="仿宋_GB2312" w:eastAsia="仿宋_GB2312" w:cs="仿宋_GB2312"/>
          <w:color w:val="FF0000"/>
          <w:sz w:val="32"/>
          <w:szCs w:val="32"/>
          <w:lang w:val="en-US" w:eastAsia="zh-CN"/>
        </w:rPr>
        <w:t>3</w:t>
      </w:r>
      <w:r>
        <w:rPr>
          <w:rFonts w:hint="eastAsia" w:ascii="仿宋_GB2312" w:hAnsi="仿宋_GB2312" w:eastAsia="仿宋_GB2312" w:cs="仿宋_GB2312"/>
          <w:color w:val="FF0000"/>
          <w:sz w:val="32"/>
          <w:szCs w:val="32"/>
        </w:rPr>
        <w:t xml:space="preserve"> 月 </w:t>
      </w:r>
      <w:r>
        <w:rPr>
          <w:rFonts w:hint="eastAsia" w:ascii="仿宋_GB2312" w:hAnsi="仿宋_GB2312" w:eastAsia="仿宋_GB2312" w:cs="仿宋_GB2312"/>
          <w:color w:val="FF0000"/>
          <w:sz w:val="32"/>
          <w:szCs w:val="32"/>
          <w:lang w:val="en-US" w:eastAsia="zh-CN"/>
        </w:rPr>
        <w:t>22</w:t>
      </w:r>
      <w:r>
        <w:rPr>
          <w:rFonts w:hint="eastAsia" w:ascii="仿宋_GB2312" w:hAnsi="仿宋_GB2312" w:eastAsia="仿宋_GB2312" w:cs="仿宋_GB2312"/>
          <w:color w:val="FF0000"/>
          <w:sz w:val="32"/>
          <w:szCs w:val="32"/>
        </w:rPr>
        <w:t xml:space="preserve"> 日</w:t>
      </w:r>
      <w:r>
        <w:rPr>
          <w:rFonts w:hint="eastAsia" w:ascii="仿宋_GB2312" w:hAnsi="仿宋_GB2312" w:eastAsia="仿宋_GB2312" w:cs="仿宋_GB2312"/>
          <w:color w:val="FF0000"/>
          <w:sz w:val="32"/>
          <w:szCs w:val="32"/>
          <w:lang w:val="en-US" w:eastAsia="zh-CN"/>
        </w:rPr>
        <w:t>9：30</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参与谈判的供应商在规定时间内递交响应文件正、副本各两份（密封盖章），首次报价表1份（密封盖章），2次报价表1份（谈判后供应商需要2次报价的单位现场递交并加盖公章）。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14:textFill>
            <w14:solidFill>
              <w14:schemeClr w14:val="tx1"/>
            </w14:solidFill>
          </w14:textFill>
        </w:rPr>
        <w:t>响应文件必须在响应文件递交的截止时间前送达，逾期送达的响应文件恕不接收，本次采购不接受邮寄或其他方式。</w:t>
      </w:r>
    </w:p>
    <w:p>
      <w:pPr>
        <w:keepNext w:val="0"/>
        <w:keepLines w:val="0"/>
        <w:pageBreakBefore w:val="0"/>
        <w:widowControl/>
        <w:shd w:val="clear" w:color="auto" w:fill="FFFFFF"/>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Cs/>
          <w:color w:val="000000" w:themeColor="text1"/>
          <w:sz w:val="32"/>
          <w:szCs w:val="32"/>
          <w14:textFill>
            <w14:solidFill>
              <w14:schemeClr w14:val="tx1"/>
            </w14:solidFill>
          </w14:textFill>
        </w:rPr>
        <w:t>供应商提交的响应文件应在封面的右上角清楚地注明“正本”、“副本”，副本由正本复制（复印）而成（包括证明文件），正副本内容应一致，正本每页须加盖公章；</w:t>
      </w:r>
      <w:r>
        <w:rPr>
          <w:rFonts w:hint="eastAsia" w:ascii="仿宋_GB2312" w:hAnsi="仿宋_GB2312" w:eastAsia="仿宋_GB2312" w:cs="仿宋_GB2312"/>
          <w:bCs/>
          <w:color w:val="FF0000"/>
          <w:sz w:val="32"/>
          <w:szCs w:val="32"/>
          <w:lang w:eastAsia="zh-CN"/>
        </w:rPr>
        <w:t>标书首页请制作好标书目录。</w:t>
      </w:r>
    </w:p>
    <w:p>
      <w:pPr>
        <w:keepNext w:val="0"/>
        <w:keepLines w:val="0"/>
        <w:pageBreakBefore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14:textFill>
            <w14:solidFill>
              <w14:schemeClr w14:val="tx1"/>
            </w14:solidFill>
          </w14:textFill>
        </w:rPr>
        <w:t>供应商编制的文件在密封处需加盖报价供应商公章；</w:t>
      </w:r>
    </w:p>
    <w:p>
      <w:pPr>
        <w:keepNext w:val="0"/>
        <w:keepLines w:val="0"/>
        <w:pageBreakBefore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Cs/>
          <w:color w:val="000000" w:themeColor="text1"/>
          <w:sz w:val="32"/>
          <w:szCs w:val="32"/>
          <w14:textFill>
            <w14:solidFill>
              <w14:schemeClr w14:val="tx1"/>
            </w14:solidFill>
          </w14:textFill>
        </w:rPr>
        <w:t>装订要求：供应商提交的文件正本和副本一律用A4复印纸编制和复制，采用粘贴方式左侧装订，不得使用抽杆夹和扣夹；</w:t>
      </w:r>
    </w:p>
    <w:p>
      <w:pPr>
        <w:keepNext w:val="0"/>
        <w:keepLines w:val="0"/>
        <w:pageBreakBefore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Cs/>
          <w:color w:val="000000" w:themeColor="text1"/>
          <w:sz w:val="32"/>
          <w:szCs w:val="32"/>
          <w14:textFill>
            <w14:solidFill>
              <w14:schemeClr w14:val="tx1"/>
            </w14:solidFill>
          </w14:textFill>
        </w:rPr>
        <w:t>封套上写明：项目名称、报价供应商名称（盖公章）、法定代表人（签字或盖章）、日期；</w:t>
      </w:r>
    </w:p>
    <w:p>
      <w:pPr>
        <w:keepNext w:val="0"/>
        <w:keepLines w:val="0"/>
        <w:pageBreakBefore w:val="0"/>
        <w:kinsoku/>
        <w:wordWrap/>
        <w:overflowPunct/>
        <w:topLinePunct w:val="0"/>
        <w:autoSpaceDE/>
        <w:autoSpaceDN/>
        <w:bidi w:val="0"/>
        <w:adjustRightInd/>
        <w:snapToGrid/>
        <w:spacing w:line="540" w:lineRule="atLeast"/>
        <w:textAlignment w:val="auto"/>
        <w:rPr>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Cs/>
          <w:color w:val="FF0000"/>
          <w:sz w:val="32"/>
          <w:szCs w:val="32"/>
        </w:rPr>
        <w:t>响应文件内不涉及报价，响应文件与报价文件分开封装；</w:t>
      </w:r>
    </w:p>
    <w:p>
      <w:pPr>
        <w:pStyle w:val="2"/>
        <w:keepNext w:val="0"/>
        <w:keepLines w:val="0"/>
        <w:pageBreakBefore w:val="0"/>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t>9.此次采购项目以完全满足响应文件要求后，有效供应商现场可进行二次报价。</w:t>
      </w:r>
    </w:p>
    <w:p>
      <w:pPr>
        <w:pStyle w:val="2"/>
        <w:keepNext w:val="0"/>
        <w:keepLines w:val="0"/>
        <w:pageBreakBefore w:val="0"/>
        <w:kinsoku/>
        <w:wordWrap/>
        <w:overflowPunct/>
        <w:topLinePunct w:val="0"/>
        <w:autoSpaceDE/>
        <w:autoSpaceDN/>
        <w:bidi w:val="0"/>
        <w:adjustRightInd/>
        <w:snapToGrid/>
        <w:spacing w:line="540" w:lineRule="atLeast"/>
        <w:jc w:val="left"/>
        <w:textAlignment w:val="auto"/>
        <w:rPr>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t>10.竞争性磋商时间为2022 年 3 月 22 日9:30 ，地点：成都儿童专科医院7楼会议室。</w:t>
      </w:r>
    </w:p>
    <w:p>
      <w:pPr>
        <w:pStyle w:val="10"/>
        <w:keepNext w:val="0"/>
        <w:keepLines w:val="0"/>
        <w:pageBreakBefore w:val="0"/>
        <w:numPr>
          <w:ilvl w:val="0"/>
          <w:numId w:val="0"/>
        </w:numPr>
        <w:kinsoku/>
        <w:wordWrap/>
        <w:overflowPunct/>
        <w:topLinePunct w:val="0"/>
        <w:bidi w:val="0"/>
        <w:snapToGrid/>
        <w:spacing w:line="540" w:lineRule="atLeast"/>
        <w:ind w:leftChars="0"/>
        <w:jc w:val="lef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四</w:t>
      </w:r>
      <w:r>
        <w:rPr>
          <w:rFonts w:hint="eastAsia" w:ascii="仿宋_GB2312" w:hAnsi="仿宋_GB2312" w:eastAsia="仿宋_GB2312" w:cs="仿宋_GB2312"/>
          <w:b/>
          <w:bCs w:val="0"/>
          <w:sz w:val="32"/>
          <w:szCs w:val="32"/>
          <w:lang w:eastAsia="zh-CN"/>
        </w:rPr>
        <w:t>、</w:t>
      </w:r>
      <w:r>
        <w:rPr>
          <w:rFonts w:hint="eastAsia" w:ascii="仿宋_GB2312" w:hAnsi="仿宋_GB2312" w:eastAsia="仿宋_GB2312" w:cs="仿宋_GB2312"/>
          <w:b/>
          <w:bCs w:val="0"/>
          <w:sz w:val="32"/>
          <w:szCs w:val="32"/>
        </w:rPr>
        <w:t>成交原则</w:t>
      </w:r>
    </w:p>
    <w:p>
      <w:pPr>
        <w:pStyle w:val="2"/>
        <w:keepNext w:val="0"/>
        <w:keepLines w:val="0"/>
        <w:pageBreakBefore w:val="0"/>
        <w:kinsoku/>
        <w:wordWrap/>
        <w:overflowPunct/>
        <w:topLinePunct w:val="0"/>
        <w:autoSpaceDE/>
        <w:autoSpaceDN/>
        <w:bidi w:val="0"/>
        <w:adjustRightInd/>
        <w:snapToGrid/>
        <w:spacing w:line="540" w:lineRule="atLeas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此次采购项目以完全满足响应文件要求后，</w:t>
      </w:r>
      <w:r>
        <w:rPr>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t>项目最终以评审专家的评分结果高分成交。</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五、服务内容及数量</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分体式挂（柜）机维护保养内容</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1.表冷清洗                                         </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2.电机叶轮清洗、                                      </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3.过滤网清洗                                         </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4.检查系统有无漏点、冷媒量是否充足</w:t>
      </w:r>
    </w:p>
    <w:p>
      <w:pPr>
        <w:pStyle w:val="2"/>
        <w:rPr>
          <w:rFonts w:hint="default"/>
          <w:lang w:val="en-US" w:eastAsia="zh-CN"/>
        </w:rPr>
      </w:pPr>
      <w:r>
        <w:rPr>
          <w:rFonts w:hint="eastAsia" w:ascii="仿宋_GB2312" w:hAnsi="仿宋_GB2312" w:eastAsia="仿宋_GB2312" w:cs="仿宋_GB2312"/>
          <w:sz w:val="32"/>
          <w:szCs w:val="32"/>
          <w:lang w:val="en-US" w:eastAsia="zh-CN"/>
        </w:rPr>
        <w:t>5.检查外机固定是否牢固</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6.免费项目包括：空调漏水、传感器部件、补加氟利昂、保险管、热敏电阻等</w:t>
      </w:r>
    </w:p>
    <w:p>
      <w:pPr>
        <w:pStyle w:val="2"/>
        <w:keepNext w:val="0"/>
        <w:keepLines w:val="0"/>
        <w:pageBreakBefore w:val="0"/>
        <w:numPr>
          <w:ilvl w:val="0"/>
          <w:numId w:val="0"/>
        </w:numPr>
        <w:kinsoku/>
        <w:wordWrap/>
        <w:overflowPunct/>
        <w:topLinePunct w:val="0"/>
        <w:bidi w:val="0"/>
        <w:snapToGrid/>
        <w:spacing w:line="540" w:lineRule="atLeas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中央空调含多联机室内机维护保养内容</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1.清洗回风滤网</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2.清理脱水盘脏杂物</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3.清理空调面板</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4.检查蒸发器并根据情况清洗</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5.检查电子膨胀阀执行动作是否正常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6.检查并测量温度传感器是否正常</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7.检查冷凝排水系统是否正常</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8.检查保温是否完好</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9.检查电机轴承、电机绝缘阻值、风机扇叶动平衡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10.检查线控器输入输出是否正常、液晶显示是否正常、菜单读数是否正常</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11.检查并紧固接线端子</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12.检查回风温度传感器是否正常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13.检查蒸发盘管温度传感器是否良好</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14.检查排水泵运转和排水是否正常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15.测量供电电源是否正常</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16.检查电脑板各项输入输出是否正常</w:t>
      </w:r>
    </w:p>
    <w:p>
      <w:pPr>
        <w:pStyle w:val="2"/>
        <w:keepNext w:val="0"/>
        <w:keepLines w:val="0"/>
        <w:pageBreakBefore w:val="0"/>
        <w:kinsoku/>
        <w:wordWrap/>
        <w:overflowPunct/>
        <w:topLinePunct w:val="0"/>
        <w:bidi w:val="0"/>
        <w:snapToGrid/>
        <w:spacing w:line="540" w:lineRule="atLeas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中央空调含多联机室外机维护保养内容</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1.检查冷凝器翅片除尘、除垢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2.检查压缩机绝缘电阻、电流、排气温度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3.检查系统排气压力、吸气压力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4.检查系统有无漏点、冷媒量是否充足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5.检查压机冷冻油是否充足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6.检查四通换向阀制冷制热切换是否正常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7.检查过滤器是否阻塞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8.检查电子膨胀阀节流调节是否正常，线圈工作是否正常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9.检查高压保护开关是否动作是否正常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10.检查低压保护开关是否动作正常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11.检查排气温度传感器、压力传感器是否正常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12.检查吸气压力传感器是否正常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13.检查单向阀工作是否正常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14.检查电机轴承是否良好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15.检查风机动平衡是否正常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16.检查冷凝器是否散热良好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17.检查供电电缆是否正常并紧固接线端子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18.检查电脑主板供电电源是否正常并紧固接线端子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19.检查变频器散热风机工作是否正常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20.检查冷媒管保温是否完好                 </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21.检查设备固定装置是否完好、紧固松动螺丝及部件</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六、供应商参加本次采购活动应具备的条件</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1、具有独立承担民事责任的能力；（提供三证合一的营业执照复印件、具有本项目相关经营范围）</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2、法人身份证复印件（如联系人是代理人还需要提供法人授权书及代理人身份证复印件）；</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3、具有良好的商业信誉和健全的财务会计制度（提供相关佐证材料）；</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4、具有履行合同所必须的设备和专业技术能力（提供相关佐证材料）；</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5、具有依法缴纳税收和社会保障资金的良好记录（提供相关佐证材料）；</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6、参加本次政府采购活动前三年内，在经营活动中没有重大违法记录（承诺函）；</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7、法律、行政法规规定的其他条件。</w:t>
      </w:r>
    </w:p>
    <w:p>
      <w:pPr>
        <w:pStyle w:val="2"/>
        <w:rPr>
          <w:rFonts w:hint="eastAsia"/>
          <w:lang w:val="en-US" w:eastAsia="zh-CN"/>
        </w:rPr>
      </w:pPr>
      <w:r>
        <w:rPr>
          <w:rFonts w:hint="eastAsia" w:ascii="仿宋_GB2312" w:hAnsi="仿宋_GB2312" w:eastAsia="仿宋_GB2312" w:cs="仿宋_GB2312"/>
          <w:sz w:val="32"/>
          <w:szCs w:val="32"/>
          <w:lang w:val="en-US" w:eastAsia="zh-CN"/>
        </w:rPr>
        <w:t>上述文件请加盖公章</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七、质量服务要求</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1、定期对全院空调设备进行巡查和测试，及时发现隐患及故障，对于出现的故障及隐患能够现场处理就现场解决，如不能现场解决及时上报隐患情况并提供应急解决办法。</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2、对空调设备安排每季度设备巡检，巡检后出具巡检报告。</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3、按设备操作规程要求，对设备进行例行保养，使空调设备处于最佳工作状态，延长其设备或部件的使用寿命，每季度开展一次例行保养，确保空调设备无安全隐患，无宕机危险。</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4、提供全院空调设备服务计划及方案。</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5、针对重点区域使用空调设备提供详细维护保养指导。</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八、售后服务要求</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1、供应商须提供有关资料及售后服务承诺；</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自项目验收交付之日起，空调设备如遇到维修后产生相同问题，供应商在接到采购人电话通知后4小时内提供解决方案，24小时内有妥善解决。如需更换，7天内完成更换，并承担材料、配件调换的费用，采购人有权拒付额外费用并追究供应商的违约责任；</w:t>
      </w:r>
    </w:p>
    <w:p>
      <w:pPr>
        <w:pStyle w:val="2"/>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3、服务期内的空调出现故障也可免费的全面检测，（不包括空调零配件的费用，更换的所有配件费用低于市场价10%，更换的零配件提供一年质保。）</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4、供应商须指派专人负责与采购单位联系售后服务事宜；</w:t>
      </w:r>
    </w:p>
    <w:p>
      <w:pPr>
        <w:keepNext w:val="0"/>
        <w:keepLines w:val="0"/>
        <w:pageBreakBefore w:val="0"/>
        <w:kinsoku/>
        <w:wordWrap/>
        <w:overflowPunct/>
        <w:topLinePunct w:val="0"/>
        <w:bidi w:val="0"/>
        <w:snapToGrid/>
        <w:spacing w:line="540" w:lineRule="atLeas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5、供应商须保证7*24小时应急服务。</w:t>
      </w:r>
    </w:p>
    <w:p>
      <w:pPr>
        <w:keepNext w:val="0"/>
        <w:keepLines w:val="0"/>
        <w:pageBreakBefore w:val="0"/>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九、付款方式：</w:t>
      </w:r>
    </w:p>
    <w:p>
      <w:pPr>
        <w:pStyle w:val="2"/>
        <w:keepNext w:val="0"/>
        <w:keepLines w:val="0"/>
        <w:pageBreakBefore w:val="0"/>
        <w:kinsoku/>
        <w:wordWrap/>
        <w:overflowPunct/>
        <w:topLinePunct w:val="0"/>
        <w:bidi w:val="0"/>
        <w:snapToGrid/>
        <w:spacing w:line="54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服务数量根据采购人需求确定，服务费用按照合同约定支付，服务过程中，产生额外配件费、材料费等费用，经采购人验收合格认可后每月或每季度根据实际数量结算支付，不支持任何预付款。</w:t>
      </w:r>
    </w:p>
    <w:p>
      <w:pPr>
        <w:keepNext w:val="0"/>
        <w:keepLines w:val="0"/>
        <w:pageBreakBefore w:val="0"/>
        <w:numPr>
          <w:ilvl w:val="0"/>
          <w:numId w:val="0"/>
        </w:numPr>
        <w:kinsoku/>
        <w:wordWrap/>
        <w:overflowPunct/>
        <w:topLinePunct w:val="0"/>
        <w:bidi w:val="0"/>
        <w:snapToGrid/>
        <w:spacing w:line="540" w:lineRule="atLeas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十、评分细则</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350"/>
        <w:gridCol w:w="855"/>
        <w:gridCol w:w="4080"/>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序号</w:t>
            </w:r>
          </w:p>
        </w:tc>
        <w:tc>
          <w:tcPr>
            <w:tcW w:w="1350" w:type="dxa"/>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评分因素</w:t>
            </w:r>
          </w:p>
        </w:tc>
        <w:tc>
          <w:tcPr>
            <w:tcW w:w="855" w:type="dxa"/>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分值</w:t>
            </w:r>
          </w:p>
        </w:tc>
        <w:tc>
          <w:tcPr>
            <w:tcW w:w="4080" w:type="dxa"/>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评分标准</w:t>
            </w:r>
          </w:p>
        </w:tc>
        <w:tc>
          <w:tcPr>
            <w:tcW w:w="1343" w:type="dxa"/>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center"/>
          </w:tcPr>
          <w:p>
            <w:pPr>
              <w:pStyle w:val="2"/>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0"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报价</w:t>
            </w:r>
          </w:p>
        </w:tc>
        <w:tc>
          <w:tcPr>
            <w:tcW w:w="855"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30</w:t>
            </w:r>
          </w:p>
        </w:tc>
        <w:tc>
          <w:tcPr>
            <w:tcW w:w="4080" w:type="dxa"/>
          </w:tcPr>
          <w:p>
            <w:pPr>
              <w:pStyle w:val="2"/>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满足磋商文件要求且报价最低的供应商的价格为比选基准价，其价格分为满分，其他供应商的价格分统一按照下列公式计算：比选报价得分=（比选基准价／最后比选报价）＊价格权值30%＊100%。报价得分保留小数点后两位，第三位四舍五入。</w:t>
            </w:r>
          </w:p>
        </w:tc>
        <w:tc>
          <w:tcPr>
            <w:tcW w:w="1343" w:type="dxa"/>
          </w:tcPr>
          <w:p>
            <w:pPr>
              <w:pStyle w:val="2"/>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center"/>
          </w:tcPr>
          <w:p>
            <w:pPr>
              <w:pStyle w:val="2"/>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350" w:type="dxa"/>
            <w:vAlign w:val="center"/>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技术能力</w:t>
            </w:r>
          </w:p>
          <w:p>
            <w:pPr>
              <w:pStyle w:val="2"/>
              <w:jc w:val="center"/>
              <w:rPr>
                <w:rFonts w:hint="eastAsia" w:ascii="仿宋_GB2312" w:hAnsi="仿宋_GB2312" w:eastAsia="仿宋_GB2312" w:cs="仿宋_GB2312"/>
                <w:sz w:val="28"/>
                <w:szCs w:val="28"/>
                <w:vertAlign w:val="baseline"/>
                <w:lang w:val="en-US" w:eastAsia="zh-CN"/>
              </w:rPr>
            </w:pPr>
          </w:p>
        </w:tc>
        <w:tc>
          <w:tcPr>
            <w:tcW w:w="855"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20</w:t>
            </w:r>
          </w:p>
        </w:tc>
        <w:tc>
          <w:tcPr>
            <w:tcW w:w="4080" w:type="dxa"/>
          </w:tcPr>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供应商在本次维保项目中对突发事件制定了细致、有针对性且能快速处理好突发事件保证医院空调正常运作的应急方案得 10 分，未提供或者明显不适用于本项目的不得分；</w:t>
            </w:r>
          </w:p>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对本次维保落实了人员配置，制定了联络方式且满足采购人实际需求得10 分，未提供或者明显不适用于本项目的不得分。</w:t>
            </w:r>
          </w:p>
        </w:tc>
        <w:tc>
          <w:tcPr>
            <w:tcW w:w="1343" w:type="dxa"/>
          </w:tcPr>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根据供应商到现场查看情况后，出</w:t>
            </w:r>
          </w:p>
          <w:p>
            <w:pPr>
              <w:pStyle w:val="2"/>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具详细的方案。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center"/>
          </w:tcPr>
          <w:p>
            <w:pPr>
              <w:pStyle w:val="2"/>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350" w:type="dxa"/>
            <w:vAlign w:val="center"/>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实施方案</w:t>
            </w:r>
          </w:p>
          <w:p>
            <w:pPr>
              <w:pStyle w:val="2"/>
              <w:jc w:val="center"/>
              <w:rPr>
                <w:rFonts w:hint="eastAsia" w:ascii="仿宋_GB2312" w:hAnsi="仿宋_GB2312" w:eastAsia="仿宋_GB2312" w:cs="仿宋_GB2312"/>
                <w:sz w:val="28"/>
                <w:szCs w:val="28"/>
                <w:vertAlign w:val="baseline"/>
                <w:lang w:val="en-US" w:eastAsia="zh-CN"/>
              </w:rPr>
            </w:pPr>
          </w:p>
        </w:tc>
        <w:tc>
          <w:tcPr>
            <w:tcW w:w="855"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30</w:t>
            </w:r>
          </w:p>
        </w:tc>
        <w:tc>
          <w:tcPr>
            <w:tcW w:w="4080" w:type="dxa"/>
          </w:tcPr>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根据投标人对本项目提供的实施方案的完整性、全面性、可操作性及项目进度计划、服务能力、保障措施等进行综合比较评分：</w:t>
            </w:r>
          </w:p>
          <w:p>
            <w:pPr>
              <w:pStyle w:val="2"/>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实施方案完整、全面、可操作性强，项目进度计划合理、服务能力优秀、保障措施完善的，得30分；实施方案较为完整、较为全面、可操作性较强，项目进度计划较为合理、服务能力较为优秀、保障措施较为完善的，得20分；实施方案基本完整、基本全面、可操作性一般，项目进度计划基本合理、服务能力基本优秀、保障措施基本完善的，得10分；实施方案不完整、不全面、可操作性不强，项目进度计划不合理、服务能力差、保障措施不完善，或未提供方案的，不得分。</w:t>
            </w:r>
          </w:p>
        </w:tc>
        <w:tc>
          <w:tcPr>
            <w:tcW w:w="1343" w:type="dxa"/>
          </w:tcPr>
          <w:p>
            <w:pPr>
              <w:pStyle w:val="2"/>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根据采购人实际情况制定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center"/>
          </w:tcPr>
          <w:p>
            <w:pPr>
              <w:pStyle w:val="2"/>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350" w:type="dxa"/>
            <w:vAlign w:val="center"/>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售后部分</w:t>
            </w:r>
          </w:p>
          <w:p>
            <w:pPr>
              <w:pStyle w:val="2"/>
              <w:jc w:val="center"/>
              <w:rPr>
                <w:rFonts w:hint="eastAsia" w:ascii="仿宋_GB2312" w:hAnsi="仿宋_GB2312" w:eastAsia="仿宋_GB2312" w:cs="仿宋_GB2312"/>
                <w:sz w:val="28"/>
                <w:szCs w:val="28"/>
                <w:vertAlign w:val="baseline"/>
                <w:lang w:val="en-US" w:eastAsia="zh-CN"/>
              </w:rPr>
            </w:pPr>
          </w:p>
        </w:tc>
        <w:tc>
          <w:tcPr>
            <w:tcW w:w="855"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4080" w:type="dxa"/>
          </w:tcPr>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1、完全满足比选文件基本要求的得 5 分（未完全满足的不得分）；</w:t>
            </w:r>
          </w:p>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2、提供发生故障时，响应供应商最短能到达现场的时间，最短的得 5 分，依次递减 0.5 分</w:t>
            </w:r>
          </w:p>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（提供相关证明材料）；</w:t>
            </w:r>
          </w:p>
          <w:p>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3、具有产品质量问题等处理方法的，每个得 1 分，最多得 3分；</w:t>
            </w:r>
          </w:p>
          <w:p>
            <w:pPr>
              <w:pStyle w:val="2"/>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4、具有产品发生质量问题现场调查处理时间方案的得 2 分。</w:t>
            </w:r>
          </w:p>
        </w:tc>
        <w:tc>
          <w:tcPr>
            <w:tcW w:w="1343" w:type="dxa"/>
          </w:tcPr>
          <w:p>
            <w:pPr>
              <w:pStyle w:val="2"/>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提供相关证明材料并加盖供应商鲜章。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 w:type="dxa"/>
            <w:vAlign w:val="center"/>
          </w:tcPr>
          <w:p>
            <w:pPr>
              <w:pStyle w:val="2"/>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1350"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业绩部分</w:t>
            </w:r>
          </w:p>
        </w:tc>
        <w:tc>
          <w:tcPr>
            <w:tcW w:w="855" w:type="dxa"/>
            <w:vAlign w:val="center"/>
          </w:tcPr>
          <w:p>
            <w:pPr>
              <w:pStyle w:val="2"/>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lang w:val="en-US" w:eastAsia="zh-CN"/>
              </w:rPr>
              <w:t>5</w:t>
            </w:r>
          </w:p>
        </w:tc>
        <w:tc>
          <w:tcPr>
            <w:tcW w:w="4080" w:type="dxa"/>
          </w:tcPr>
          <w:p>
            <w:pPr>
              <w:pStyle w:val="2"/>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提供自2019年1月1日以来，供应商具有空调维护服务案例的，每有1个得1分，最高的5分，提供合同复印件。</w:t>
            </w:r>
          </w:p>
        </w:tc>
        <w:tc>
          <w:tcPr>
            <w:tcW w:w="1343" w:type="dxa"/>
          </w:tcPr>
          <w:p>
            <w:pPr>
              <w:pStyle w:val="2"/>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投标供应商提供合同复印件</w:t>
            </w:r>
          </w:p>
        </w:tc>
      </w:tr>
    </w:tbl>
    <w:p>
      <w:pPr>
        <w:pStyle w:val="2"/>
        <w:jc w:val="left"/>
        <w:rPr>
          <w:rFonts w:hint="eastAsia"/>
          <w:lang w:val="en-US" w:eastAsia="zh-CN"/>
        </w:rPr>
      </w:pPr>
    </w:p>
    <w:p>
      <w:pPr>
        <w:pStyle w:val="2"/>
        <w:numPr>
          <w:ilvl w:val="0"/>
          <w:numId w:val="0"/>
        </w:numPr>
        <w:ind w:lef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十一、合同草案</w:t>
      </w:r>
    </w:p>
    <w:p>
      <w:pPr>
        <w:jc w:val="center"/>
        <w:rPr>
          <w:rFonts w:hint="eastAsia"/>
          <w:sz w:val="32"/>
          <w:szCs w:val="32"/>
          <w:lang w:eastAsia="zh-CN"/>
        </w:rPr>
      </w:pPr>
      <w:r>
        <w:rPr>
          <w:rFonts w:hint="eastAsia"/>
          <w:sz w:val="32"/>
          <w:szCs w:val="32"/>
          <w:lang w:eastAsia="zh-CN"/>
        </w:rPr>
        <w:t>采购合同（草案）</w:t>
      </w:r>
    </w:p>
    <w:p>
      <w:pPr>
        <w:rPr>
          <w:rFonts w:hint="eastAsia"/>
          <w:sz w:val="28"/>
          <w:szCs w:val="28"/>
          <w:lang w:eastAsia="zh-CN"/>
        </w:rPr>
      </w:pPr>
      <w:r>
        <w:rPr>
          <w:rFonts w:hint="eastAsia"/>
          <w:sz w:val="28"/>
          <w:szCs w:val="28"/>
          <w:lang w:eastAsia="zh-CN"/>
        </w:rPr>
        <w:t>采购人：（以下简称甲方）</w:t>
      </w:r>
    </w:p>
    <w:p>
      <w:pPr>
        <w:rPr>
          <w:rFonts w:hint="eastAsia"/>
          <w:sz w:val="28"/>
          <w:szCs w:val="28"/>
          <w:lang w:eastAsia="zh-CN"/>
        </w:rPr>
      </w:pPr>
      <w:r>
        <w:rPr>
          <w:rFonts w:hint="eastAsia"/>
          <w:sz w:val="28"/>
          <w:szCs w:val="28"/>
          <w:lang w:eastAsia="zh-CN"/>
        </w:rPr>
        <w:t>投标人：（以下简称乙方）</w:t>
      </w:r>
    </w:p>
    <w:p>
      <w:pPr>
        <w:rPr>
          <w:rFonts w:hint="eastAsia"/>
          <w:sz w:val="28"/>
          <w:szCs w:val="28"/>
          <w:lang w:val="en-US" w:eastAsia="zh-CN"/>
        </w:rPr>
      </w:pPr>
      <w:r>
        <w:rPr>
          <w:rFonts w:hint="eastAsia"/>
          <w:sz w:val="28"/>
          <w:szCs w:val="28"/>
          <w:lang w:val="en-US" w:eastAsia="zh-CN"/>
        </w:rPr>
        <w:t xml:space="preserve">   依照《中华人民共和国民法典》及其他有关法律、行政法规，遵循平等、自愿、公平和诚实守信的原则，并经甲乙双方协商一致，订立本合同。</w:t>
      </w:r>
    </w:p>
    <w:p>
      <w:pPr>
        <w:numPr>
          <w:ilvl w:val="0"/>
          <w:numId w:val="3"/>
        </w:numPr>
        <w:rPr>
          <w:rFonts w:hint="eastAsia"/>
          <w:sz w:val="28"/>
          <w:szCs w:val="28"/>
          <w:lang w:val="en-US" w:eastAsia="zh-CN"/>
        </w:rPr>
      </w:pPr>
      <w:r>
        <w:rPr>
          <w:rFonts w:hint="eastAsia"/>
          <w:sz w:val="28"/>
          <w:szCs w:val="28"/>
          <w:lang w:val="en-US" w:eastAsia="zh-CN"/>
        </w:rPr>
        <w:t>服务内容及期限</w:t>
      </w:r>
    </w:p>
    <w:p>
      <w:pPr>
        <w:numPr>
          <w:ilvl w:val="0"/>
          <w:numId w:val="0"/>
        </w:numPr>
        <w:rPr>
          <w:rFonts w:hint="eastAsia"/>
          <w:sz w:val="28"/>
          <w:szCs w:val="28"/>
          <w:lang w:val="en-US" w:eastAsia="zh-CN"/>
        </w:rPr>
      </w:pPr>
      <w:r>
        <w:rPr>
          <w:rFonts w:hint="eastAsia"/>
          <w:sz w:val="28"/>
          <w:szCs w:val="28"/>
          <w:lang w:val="en-US" w:eastAsia="zh-CN"/>
        </w:rPr>
        <w:t>服务内容：</w:t>
      </w:r>
    </w:p>
    <w:p>
      <w:pPr>
        <w:numPr>
          <w:ilvl w:val="0"/>
          <w:numId w:val="0"/>
        </w:numPr>
        <w:rPr>
          <w:rFonts w:hint="eastAsia"/>
          <w:sz w:val="28"/>
          <w:szCs w:val="28"/>
          <w:lang w:val="en-US" w:eastAsia="zh-CN"/>
        </w:rPr>
      </w:pPr>
      <w:r>
        <w:rPr>
          <w:rFonts w:hint="eastAsia"/>
          <w:sz w:val="28"/>
          <w:szCs w:val="28"/>
          <w:lang w:val="en-US" w:eastAsia="zh-CN"/>
        </w:rPr>
        <w:t>本次服务期限自（      年    月     日 —     年    月    日），</w:t>
      </w:r>
    </w:p>
    <w:p>
      <w:pPr>
        <w:numPr>
          <w:ilvl w:val="0"/>
          <w:numId w:val="3"/>
        </w:numPr>
        <w:ind w:left="0" w:leftChars="0" w:firstLine="0" w:firstLineChars="0"/>
        <w:rPr>
          <w:rFonts w:hint="eastAsia"/>
          <w:sz w:val="28"/>
          <w:szCs w:val="28"/>
          <w:lang w:val="en-US" w:eastAsia="zh-CN"/>
        </w:rPr>
      </w:pPr>
      <w:r>
        <w:rPr>
          <w:rFonts w:hint="eastAsia"/>
          <w:sz w:val="28"/>
          <w:szCs w:val="28"/>
          <w:lang w:val="en-US" w:eastAsia="zh-CN"/>
        </w:rPr>
        <w:t>合同总价：</w:t>
      </w:r>
    </w:p>
    <w:p>
      <w:pPr>
        <w:numPr>
          <w:ilvl w:val="0"/>
          <w:numId w:val="3"/>
        </w:numPr>
        <w:ind w:left="0" w:leftChars="0" w:firstLine="0" w:firstLineChars="0"/>
        <w:rPr>
          <w:rFonts w:hint="default"/>
          <w:sz w:val="28"/>
          <w:szCs w:val="28"/>
          <w:lang w:val="en-US" w:eastAsia="zh-CN"/>
        </w:rPr>
      </w:pPr>
      <w:r>
        <w:rPr>
          <w:rFonts w:hint="eastAsia"/>
          <w:sz w:val="28"/>
          <w:szCs w:val="28"/>
          <w:lang w:val="en-US" w:eastAsia="zh-CN"/>
        </w:rPr>
        <w:t>付款方式：合同签订后，甲方按季度支付乙方维护保养费，上一季度的维保费用在下一季度开始后10个工作日内支付。</w:t>
      </w:r>
    </w:p>
    <w:p>
      <w:pPr>
        <w:numPr>
          <w:ilvl w:val="0"/>
          <w:numId w:val="3"/>
        </w:numPr>
        <w:ind w:left="0" w:leftChars="0" w:firstLine="0" w:firstLineChars="0"/>
        <w:rPr>
          <w:rFonts w:hint="default"/>
          <w:sz w:val="28"/>
          <w:szCs w:val="28"/>
          <w:lang w:val="en-US" w:eastAsia="zh-CN"/>
        </w:rPr>
      </w:pPr>
      <w:r>
        <w:rPr>
          <w:rFonts w:hint="eastAsia"/>
          <w:sz w:val="28"/>
          <w:szCs w:val="28"/>
          <w:lang w:val="en-US" w:eastAsia="zh-CN"/>
        </w:rPr>
        <w:t>合同签订后，如成交人不按双方合同约定履约，按实际损失赔偿。</w:t>
      </w:r>
    </w:p>
    <w:p>
      <w:pPr>
        <w:numPr>
          <w:ilvl w:val="0"/>
          <w:numId w:val="0"/>
        </w:numPr>
        <w:ind w:leftChars="0"/>
        <w:rPr>
          <w:rFonts w:hint="default"/>
          <w:sz w:val="28"/>
          <w:szCs w:val="28"/>
          <w:lang w:val="en-US" w:eastAsia="zh-CN"/>
        </w:rPr>
      </w:pPr>
      <w:r>
        <w:rPr>
          <w:rFonts w:hint="eastAsia"/>
          <w:sz w:val="28"/>
          <w:szCs w:val="28"/>
          <w:lang w:val="en-US" w:eastAsia="zh-CN"/>
        </w:rPr>
        <w:t>甲方责任与权力：</w:t>
      </w:r>
    </w:p>
    <w:p>
      <w:pPr>
        <w:numPr>
          <w:ilvl w:val="0"/>
          <w:numId w:val="0"/>
        </w:numPr>
        <w:ind w:leftChars="0"/>
        <w:rPr>
          <w:rFonts w:hint="eastAsia"/>
          <w:sz w:val="28"/>
          <w:szCs w:val="28"/>
          <w:lang w:val="en-US" w:eastAsia="zh-CN"/>
        </w:rPr>
      </w:pPr>
      <w:r>
        <w:rPr>
          <w:rFonts w:hint="eastAsia"/>
          <w:sz w:val="28"/>
          <w:szCs w:val="28"/>
          <w:lang w:val="en-US" w:eastAsia="zh-CN"/>
        </w:rPr>
        <w:t>4.1合同签订前，甲方空调设备应处于良好使用状态，合同签订后，甲方空调设备正常状态已被乙方认同和接受。</w:t>
      </w:r>
    </w:p>
    <w:p>
      <w:pPr>
        <w:numPr>
          <w:ilvl w:val="0"/>
          <w:numId w:val="0"/>
        </w:numPr>
        <w:ind w:leftChars="0"/>
        <w:rPr>
          <w:rFonts w:hint="eastAsia"/>
          <w:sz w:val="28"/>
          <w:szCs w:val="28"/>
          <w:lang w:val="en-US" w:eastAsia="zh-CN"/>
        </w:rPr>
      </w:pPr>
      <w:r>
        <w:rPr>
          <w:rFonts w:hint="eastAsia"/>
          <w:sz w:val="28"/>
          <w:szCs w:val="28"/>
          <w:lang w:val="en-US" w:eastAsia="zh-CN"/>
        </w:rPr>
        <w:t>4.2甲方有义务按合同规定及时支付维保款项。</w:t>
      </w:r>
    </w:p>
    <w:p>
      <w:pPr>
        <w:numPr>
          <w:ilvl w:val="0"/>
          <w:numId w:val="3"/>
        </w:numPr>
        <w:ind w:left="0" w:leftChars="0" w:firstLine="0" w:firstLineChars="0"/>
        <w:rPr>
          <w:rFonts w:hint="eastAsia"/>
          <w:sz w:val="28"/>
          <w:szCs w:val="28"/>
          <w:lang w:val="en-US" w:eastAsia="zh-CN"/>
        </w:rPr>
      </w:pPr>
      <w:r>
        <w:rPr>
          <w:rFonts w:hint="eastAsia"/>
          <w:sz w:val="28"/>
          <w:szCs w:val="28"/>
          <w:lang w:val="en-US" w:eastAsia="zh-CN"/>
        </w:rPr>
        <w:t>乙方责任与权力：</w:t>
      </w:r>
    </w:p>
    <w:p>
      <w:pPr>
        <w:numPr>
          <w:ilvl w:val="0"/>
          <w:numId w:val="0"/>
        </w:numPr>
        <w:ind w:leftChars="0"/>
        <w:rPr>
          <w:rFonts w:hint="eastAsia"/>
          <w:sz w:val="28"/>
          <w:szCs w:val="28"/>
          <w:lang w:val="en-US" w:eastAsia="zh-CN"/>
        </w:rPr>
      </w:pPr>
      <w:r>
        <w:rPr>
          <w:rFonts w:hint="eastAsia"/>
          <w:sz w:val="28"/>
          <w:szCs w:val="28"/>
          <w:lang w:val="en-US" w:eastAsia="zh-CN"/>
        </w:rPr>
        <w:t>5.1若甲方未按合同规定支付相应合同款项，乙方有权利向甲方提出相应款项支付的要求直至解除合同：</w:t>
      </w:r>
    </w:p>
    <w:p>
      <w:pPr>
        <w:numPr>
          <w:ilvl w:val="0"/>
          <w:numId w:val="0"/>
        </w:numPr>
        <w:ind w:leftChars="0"/>
        <w:rPr>
          <w:rFonts w:hint="eastAsia"/>
          <w:sz w:val="28"/>
          <w:szCs w:val="28"/>
          <w:lang w:val="en-US" w:eastAsia="zh-CN"/>
        </w:rPr>
      </w:pPr>
      <w:r>
        <w:rPr>
          <w:rFonts w:hint="eastAsia"/>
          <w:sz w:val="28"/>
          <w:szCs w:val="28"/>
          <w:lang w:val="en-US" w:eastAsia="zh-CN"/>
        </w:rPr>
        <w:t>5.2按照招投标文件要求提供良好的技术人员和工具仪器，最佳的服务质量和态度，严格按照规定的保养标准做好维护保养工作，并认真填写运行报告，使设备处于良好运行状态：</w:t>
      </w:r>
    </w:p>
    <w:p>
      <w:pPr>
        <w:numPr>
          <w:ilvl w:val="0"/>
          <w:numId w:val="0"/>
        </w:numPr>
        <w:ind w:leftChars="0"/>
        <w:rPr>
          <w:rFonts w:hint="eastAsia"/>
          <w:sz w:val="28"/>
          <w:szCs w:val="28"/>
          <w:lang w:val="en-US" w:eastAsia="zh-CN"/>
        </w:rPr>
      </w:pPr>
      <w:r>
        <w:rPr>
          <w:rFonts w:hint="eastAsia"/>
          <w:sz w:val="28"/>
          <w:szCs w:val="28"/>
          <w:lang w:val="en-US" w:eastAsia="zh-CN"/>
        </w:rPr>
        <w:t>5.3乙方工作人员工作期间，需着装整洁且佩戴工作证，在空调设备出现故障时，应及时提出书面解决方案报甲方审核；</w:t>
      </w:r>
    </w:p>
    <w:p>
      <w:pPr>
        <w:numPr>
          <w:ilvl w:val="0"/>
          <w:numId w:val="0"/>
        </w:numPr>
        <w:ind w:leftChars="0"/>
        <w:rPr>
          <w:rFonts w:hint="eastAsia"/>
          <w:sz w:val="28"/>
          <w:szCs w:val="28"/>
          <w:lang w:val="en-US" w:eastAsia="zh-CN"/>
        </w:rPr>
      </w:pPr>
      <w:r>
        <w:rPr>
          <w:rFonts w:hint="eastAsia"/>
          <w:sz w:val="28"/>
          <w:szCs w:val="28"/>
          <w:lang w:val="en-US" w:eastAsia="zh-CN"/>
        </w:rPr>
        <w:t>5.4乙方应做好相应机器设备运行记录，定期保养时应提前一周通知甲方，以便甲方提前安排，不致影响正常工作。</w:t>
      </w:r>
    </w:p>
    <w:p>
      <w:pPr>
        <w:numPr>
          <w:ilvl w:val="0"/>
          <w:numId w:val="0"/>
        </w:numPr>
        <w:ind w:leftChars="0"/>
        <w:rPr>
          <w:rFonts w:hint="eastAsia"/>
          <w:sz w:val="28"/>
          <w:szCs w:val="28"/>
          <w:lang w:val="en-US" w:eastAsia="zh-CN"/>
        </w:rPr>
      </w:pPr>
      <w:r>
        <w:rPr>
          <w:rFonts w:hint="eastAsia"/>
          <w:sz w:val="28"/>
          <w:szCs w:val="28"/>
          <w:lang w:val="en-US" w:eastAsia="zh-CN"/>
        </w:rPr>
        <w:t>5.5乙方应从正规途径后买配件，各类配件必须有出厂合格证，如使用不合格零配件，甲方一经发现立即拆除外尚需赔偿相应损失费用；</w:t>
      </w:r>
    </w:p>
    <w:p>
      <w:pPr>
        <w:numPr>
          <w:ilvl w:val="0"/>
          <w:numId w:val="0"/>
        </w:numPr>
        <w:ind w:leftChars="0"/>
        <w:rPr>
          <w:rFonts w:hint="eastAsia"/>
          <w:sz w:val="28"/>
          <w:szCs w:val="28"/>
          <w:lang w:val="en-US" w:eastAsia="zh-CN"/>
        </w:rPr>
      </w:pPr>
      <w:r>
        <w:rPr>
          <w:rFonts w:hint="eastAsia"/>
          <w:sz w:val="28"/>
          <w:szCs w:val="28"/>
          <w:lang w:val="en-US" w:eastAsia="zh-CN"/>
        </w:rPr>
        <w:t>5.6乙方未经甲方书面同意不得将此合同转包给第三方，一经发现有转包，甲方将无条件解除合同，且追偿相应损失；</w:t>
      </w:r>
    </w:p>
    <w:p>
      <w:pPr>
        <w:numPr>
          <w:ilvl w:val="0"/>
          <w:numId w:val="0"/>
        </w:numPr>
        <w:ind w:leftChars="0"/>
        <w:rPr>
          <w:rFonts w:hint="eastAsia"/>
          <w:sz w:val="28"/>
          <w:szCs w:val="28"/>
          <w:lang w:val="en-US" w:eastAsia="zh-CN"/>
        </w:rPr>
      </w:pPr>
      <w:r>
        <w:rPr>
          <w:rFonts w:hint="eastAsia"/>
          <w:sz w:val="28"/>
          <w:szCs w:val="28"/>
          <w:lang w:val="en-US" w:eastAsia="zh-CN"/>
        </w:rPr>
        <w:t>5.7乙方需对维保过程中的自有人员安全承担全部责任，因操作不当及维保不及时给第三方造成损失的，由乙方单位承担；</w:t>
      </w:r>
    </w:p>
    <w:p>
      <w:pPr>
        <w:numPr>
          <w:ilvl w:val="0"/>
          <w:numId w:val="0"/>
        </w:numPr>
        <w:ind w:leftChars="0"/>
        <w:rPr>
          <w:rFonts w:hint="eastAsia"/>
          <w:sz w:val="28"/>
          <w:szCs w:val="28"/>
          <w:lang w:val="en-US" w:eastAsia="zh-CN"/>
        </w:rPr>
      </w:pPr>
      <w:r>
        <w:rPr>
          <w:rFonts w:hint="eastAsia"/>
          <w:sz w:val="28"/>
          <w:szCs w:val="28"/>
          <w:lang w:val="en-US" w:eastAsia="zh-CN"/>
        </w:rPr>
        <w:t>5.8当出现大修情况，乙方需做出书面说明和修复时间承若，报甲方批准；</w:t>
      </w:r>
    </w:p>
    <w:p>
      <w:pPr>
        <w:numPr>
          <w:ilvl w:val="0"/>
          <w:numId w:val="0"/>
        </w:numPr>
        <w:rPr>
          <w:rFonts w:hint="eastAsia"/>
          <w:sz w:val="28"/>
          <w:szCs w:val="28"/>
          <w:lang w:val="en-US" w:eastAsia="zh-CN"/>
        </w:rPr>
      </w:pPr>
      <w:r>
        <w:rPr>
          <w:rFonts w:hint="eastAsia"/>
          <w:sz w:val="28"/>
          <w:szCs w:val="28"/>
          <w:lang w:val="en-US" w:eastAsia="zh-CN"/>
        </w:rPr>
        <w:t>6、违约责任</w:t>
      </w:r>
    </w:p>
    <w:p>
      <w:pPr>
        <w:numPr>
          <w:ilvl w:val="0"/>
          <w:numId w:val="0"/>
        </w:numPr>
        <w:rPr>
          <w:rFonts w:hint="eastAsia"/>
          <w:sz w:val="28"/>
          <w:szCs w:val="28"/>
          <w:lang w:val="en-US" w:eastAsia="zh-CN"/>
        </w:rPr>
      </w:pPr>
      <w:r>
        <w:rPr>
          <w:rFonts w:hint="eastAsia"/>
          <w:sz w:val="28"/>
          <w:szCs w:val="28"/>
          <w:lang w:val="en-US" w:eastAsia="zh-CN"/>
        </w:rPr>
        <w:t>6.1甲方无正当理由拒接受服务的，甲方和乙方偿付合同款项百分之五作为违约金；</w:t>
      </w:r>
    </w:p>
    <w:p>
      <w:pPr>
        <w:numPr>
          <w:ilvl w:val="0"/>
          <w:numId w:val="0"/>
        </w:numPr>
        <w:rPr>
          <w:rFonts w:hint="eastAsia"/>
          <w:sz w:val="28"/>
          <w:szCs w:val="28"/>
          <w:lang w:val="en-US" w:eastAsia="zh-CN"/>
        </w:rPr>
      </w:pPr>
      <w:r>
        <w:rPr>
          <w:rFonts w:hint="eastAsia"/>
          <w:sz w:val="28"/>
          <w:szCs w:val="28"/>
          <w:lang w:val="en-US" w:eastAsia="zh-CN"/>
        </w:rPr>
        <w:t>6.2甲方无故逾期验收和办理款项支付手续的，甲方应按逾期付款总金额百分之五向乙方支付违约金；</w:t>
      </w:r>
    </w:p>
    <w:p>
      <w:pPr>
        <w:numPr>
          <w:ilvl w:val="0"/>
          <w:numId w:val="0"/>
        </w:numPr>
        <w:rPr>
          <w:rFonts w:hint="eastAsia"/>
          <w:sz w:val="28"/>
          <w:szCs w:val="28"/>
          <w:lang w:val="en-US" w:eastAsia="zh-CN"/>
        </w:rPr>
      </w:pPr>
      <w:r>
        <w:rPr>
          <w:rFonts w:hint="eastAsia"/>
          <w:sz w:val="28"/>
          <w:szCs w:val="28"/>
          <w:lang w:val="en-US" w:eastAsia="zh-CN"/>
        </w:rPr>
        <w:t>6.3乙方未能如期提供服务的，每日向甲方支付合同价款项的百分之五作为违约金，乙方超过约定日期10个工作日仍不能提供服务的，甲方可解除合同。乙方因未能如期提供服务或因其他违约行为导致甲方解除合同的，乙方应向甲方支付合同总值5%的违约金，如造成甲方损失超过违约金的，超出部分由乙方继续承担赔偿责任。</w:t>
      </w:r>
    </w:p>
    <w:p>
      <w:pPr>
        <w:numPr>
          <w:ilvl w:val="0"/>
          <w:numId w:val="0"/>
        </w:numPr>
        <w:ind w:leftChars="0"/>
        <w:rPr>
          <w:rFonts w:hint="eastAsia"/>
          <w:sz w:val="28"/>
          <w:szCs w:val="28"/>
          <w:lang w:val="en-US" w:eastAsia="zh-CN"/>
        </w:rPr>
      </w:pPr>
      <w:r>
        <w:rPr>
          <w:rFonts w:hint="eastAsia"/>
          <w:sz w:val="28"/>
          <w:szCs w:val="28"/>
          <w:lang w:val="en-US" w:eastAsia="zh-CN"/>
        </w:rPr>
        <w:t>7、诉讼</w:t>
      </w:r>
    </w:p>
    <w:p>
      <w:pPr>
        <w:numPr>
          <w:ilvl w:val="0"/>
          <w:numId w:val="0"/>
        </w:numPr>
        <w:ind w:leftChars="0"/>
        <w:rPr>
          <w:rFonts w:hint="eastAsia"/>
          <w:sz w:val="28"/>
          <w:szCs w:val="28"/>
          <w:lang w:val="en-US" w:eastAsia="zh-CN"/>
        </w:rPr>
      </w:pPr>
      <w:r>
        <w:rPr>
          <w:rFonts w:hint="eastAsia"/>
          <w:sz w:val="28"/>
          <w:szCs w:val="28"/>
          <w:lang w:val="en-US" w:eastAsia="zh-CN"/>
        </w:rPr>
        <w:t>双方在执行合同中所发生的一切争议，应通过协商解决，如协商不成，可向甲方所在地法院起诉。</w:t>
      </w:r>
    </w:p>
    <w:p>
      <w:pPr>
        <w:numPr>
          <w:ilvl w:val="0"/>
          <w:numId w:val="0"/>
        </w:numPr>
        <w:ind w:leftChars="0"/>
        <w:rPr>
          <w:rFonts w:hint="eastAsia"/>
          <w:sz w:val="28"/>
          <w:szCs w:val="28"/>
          <w:lang w:val="en-US" w:eastAsia="zh-CN"/>
        </w:rPr>
      </w:pPr>
      <w:r>
        <w:rPr>
          <w:rFonts w:hint="eastAsia"/>
          <w:sz w:val="28"/>
          <w:szCs w:val="28"/>
          <w:lang w:val="en-US" w:eastAsia="zh-CN"/>
        </w:rPr>
        <w:t>8、合同生效；</w:t>
      </w:r>
    </w:p>
    <w:p>
      <w:pPr>
        <w:numPr>
          <w:ilvl w:val="0"/>
          <w:numId w:val="0"/>
        </w:numPr>
        <w:ind w:leftChars="0"/>
        <w:rPr>
          <w:rFonts w:hint="eastAsia"/>
          <w:sz w:val="28"/>
          <w:szCs w:val="28"/>
          <w:lang w:val="en-US" w:eastAsia="zh-CN"/>
        </w:rPr>
      </w:pPr>
      <w:r>
        <w:rPr>
          <w:rFonts w:hint="eastAsia"/>
          <w:sz w:val="28"/>
          <w:szCs w:val="28"/>
          <w:lang w:val="en-US" w:eastAsia="zh-CN"/>
        </w:rPr>
        <w:t>合同经双方法定代表人或授权代表签字并加盖单位公章后生效。</w:t>
      </w:r>
    </w:p>
    <w:p>
      <w:pPr>
        <w:numPr>
          <w:ilvl w:val="0"/>
          <w:numId w:val="0"/>
        </w:numPr>
        <w:ind w:leftChars="0"/>
        <w:rPr>
          <w:rFonts w:hint="eastAsia"/>
          <w:sz w:val="28"/>
          <w:szCs w:val="28"/>
          <w:lang w:val="en-US" w:eastAsia="zh-CN"/>
        </w:rPr>
      </w:pPr>
      <w:r>
        <w:rPr>
          <w:rFonts w:hint="eastAsia"/>
          <w:sz w:val="28"/>
          <w:szCs w:val="28"/>
          <w:lang w:val="en-US" w:eastAsia="zh-CN"/>
        </w:rPr>
        <w:t>9、本合同一式肆份，甲方执叁份、乙方执壹份，均具有同等法律效力。</w:t>
      </w:r>
    </w:p>
    <w:p>
      <w:pPr>
        <w:numPr>
          <w:ilvl w:val="0"/>
          <w:numId w:val="0"/>
        </w:numPr>
        <w:ind w:leftChars="0"/>
        <w:rPr>
          <w:rFonts w:hint="default"/>
          <w:sz w:val="28"/>
          <w:szCs w:val="28"/>
          <w:lang w:val="en-US" w:eastAsia="zh-CN"/>
        </w:rPr>
      </w:pPr>
      <w:r>
        <w:rPr>
          <w:rFonts w:hint="eastAsia"/>
          <w:sz w:val="28"/>
          <w:szCs w:val="28"/>
          <w:lang w:val="en-US" w:eastAsia="zh-CN"/>
        </w:rPr>
        <w:t>10、本合同的未尽事宜，由甲乙双方协商一致签订补充协议，补充协议与本合同具有同等法律效力。</w:t>
      </w:r>
    </w:p>
    <w:p>
      <w:pPr>
        <w:numPr>
          <w:ilvl w:val="0"/>
          <w:numId w:val="0"/>
        </w:numPr>
        <w:ind w:leftChars="0"/>
        <w:rPr>
          <w:rFonts w:hint="eastAsia"/>
          <w:sz w:val="28"/>
          <w:szCs w:val="28"/>
          <w:lang w:val="en-US" w:eastAsia="zh-CN"/>
        </w:rPr>
      </w:pPr>
    </w:p>
    <w:p>
      <w:pPr>
        <w:numPr>
          <w:ilvl w:val="0"/>
          <w:numId w:val="0"/>
        </w:numPr>
        <w:ind w:leftChars="0"/>
        <w:rPr>
          <w:rFonts w:hint="default"/>
          <w:sz w:val="28"/>
          <w:szCs w:val="28"/>
          <w:lang w:val="en-US" w:eastAsia="zh-CN"/>
        </w:rPr>
      </w:pPr>
      <w:r>
        <w:rPr>
          <w:rFonts w:hint="eastAsia"/>
          <w:sz w:val="28"/>
          <w:szCs w:val="28"/>
          <w:lang w:val="en-US" w:eastAsia="zh-CN"/>
        </w:rPr>
        <w:t>甲方（盖章）：                    乙方（盖章）</w:t>
      </w:r>
    </w:p>
    <w:p>
      <w:pPr>
        <w:numPr>
          <w:ilvl w:val="0"/>
          <w:numId w:val="0"/>
        </w:numPr>
        <w:ind w:leftChars="0"/>
        <w:rPr>
          <w:rFonts w:hint="default"/>
          <w:sz w:val="28"/>
          <w:szCs w:val="28"/>
          <w:lang w:val="en-US" w:eastAsia="zh-CN"/>
        </w:rPr>
      </w:pPr>
      <w:r>
        <w:rPr>
          <w:rFonts w:hint="eastAsia"/>
          <w:sz w:val="28"/>
          <w:szCs w:val="28"/>
          <w:lang w:val="en-US" w:eastAsia="zh-CN"/>
        </w:rPr>
        <w:t>法定代表人或授权代表（签字）：     法定代表人或授权代表（签字）</w:t>
      </w:r>
    </w:p>
    <w:p>
      <w:pPr>
        <w:numPr>
          <w:ilvl w:val="0"/>
          <w:numId w:val="0"/>
        </w:numPr>
        <w:ind w:leftChars="0"/>
        <w:rPr>
          <w:rFonts w:hint="default"/>
          <w:sz w:val="28"/>
          <w:szCs w:val="28"/>
          <w:lang w:val="en-US" w:eastAsia="zh-CN"/>
        </w:rPr>
      </w:pPr>
      <w:r>
        <w:rPr>
          <w:rFonts w:hint="eastAsia"/>
          <w:sz w:val="28"/>
          <w:szCs w:val="28"/>
          <w:lang w:val="en-US" w:eastAsia="zh-CN"/>
        </w:rPr>
        <w:t>地址：                           地址：</w:t>
      </w:r>
    </w:p>
    <w:p>
      <w:pPr>
        <w:numPr>
          <w:ilvl w:val="0"/>
          <w:numId w:val="0"/>
        </w:numPr>
        <w:ind w:leftChars="0"/>
        <w:rPr>
          <w:rFonts w:hint="default"/>
          <w:sz w:val="28"/>
          <w:szCs w:val="28"/>
          <w:lang w:val="en-US" w:eastAsia="zh-CN"/>
        </w:rPr>
      </w:pPr>
      <w:r>
        <w:rPr>
          <w:rFonts w:hint="eastAsia"/>
          <w:sz w:val="28"/>
          <w:szCs w:val="28"/>
          <w:lang w:val="en-US" w:eastAsia="zh-CN"/>
        </w:rPr>
        <w:t>电话：                           电话：</w:t>
      </w:r>
    </w:p>
    <w:p>
      <w:pPr>
        <w:numPr>
          <w:ilvl w:val="0"/>
          <w:numId w:val="0"/>
        </w:numPr>
        <w:ind w:leftChars="0"/>
        <w:rPr>
          <w:rFonts w:hint="default"/>
          <w:sz w:val="28"/>
          <w:szCs w:val="28"/>
          <w:lang w:val="en-US" w:eastAsia="zh-CN"/>
        </w:rPr>
      </w:pPr>
      <w:r>
        <w:rPr>
          <w:rFonts w:hint="eastAsia"/>
          <w:sz w:val="28"/>
          <w:szCs w:val="28"/>
          <w:lang w:val="en-US" w:eastAsia="zh-CN"/>
        </w:rPr>
        <w:t>开户银行：                       开户银行：</w:t>
      </w:r>
    </w:p>
    <w:p>
      <w:pPr>
        <w:numPr>
          <w:ilvl w:val="0"/>
          <w:numId w:val="0"/>
        </w:numPr>
        <w:ind w:leftChars="0"/>
        <w:rPr>
          <w:rFonts w:hint="eastAsia"/>
          <w:sz w:val="28"/>
          <w:szCs w:val="28"/>
          <w:lang w:val="en-US" w:eastAsia="zh-CN"/>
        </w:rPr>
      </w:pPr>
      <w:r>
        <w:rPr>
          <w:rFonts w:hint="eastAsia"/>
          <w:sz w:val="28"/>
          <w:szCs w:val="28"/>
          <w:lang w:val="en-US" w:eastAsia="zh-CN"/>
        </w:rPr>
        <w:t>账号：                           账号：</w:t>
      </w:r>
    </w:p>
    <w:p>
      <w:pPr>
        <w:numPr>
          <w:ilvl w:val="0"/>
          <w:numId w:val="0"/>
        </w:numPr>
        <w:ind w:leftChars="0"/>
        <w:rPr>
          <w:rFonts w:hint="default"/>
          <w:sz w:val="28"/>
          <w:szCs w:val="28"/>
          <w:lang w:val="en-US" w:eastAsia="zh-CN"/>
        </w:rPr>
      </w:pPr>
      <w:r>
        <w:rPr>
          <w:rFonts w:hint="eastAsia"/>
          <w:sz w:val="28"/>
          <w:szCs w:val="28"/>
          <w:lang w:val="en-US" w:eastAsia="zh-CN"/>
        </w:rPr>
        <w:t>签订日期：                       签订日期：</w:t>
      </w:r>
    </w:p>
    <w:p>
      <w:pPr>
        <w:numPr>
          <w:ilvl w:val="0"/>
          <w:numId w:val="0"/>
        </w:numPr>
        <w:ind w:leftChars="0"/>
        <w:rPr>
          <w:rFonts w:hint="default"/>
          <w:lang w:val="en-US" w:eastAsia="zh-CN"/>
        </w:rPr>
      </w:pPr>
    </w:p>
    <w:p>
      <w:pPr>
        <w:rPr>
          <w:rFonts w:hint="eastAsia"/>
          <w:lang w:val="en-US" w:eastAsia="zh-CN"/>
        </w:rPr>
      </w:pPr>
    </w:p>
    <w:p>
      <w:pPr>
        <w:rPr>
          <w:rFonts w:hint="eastAsia"/>
          <w:lang w:val="en-US" w:eastAsia="zh-CN"/>
        </w:rPr>
      </w:pPr>
    </w:p>
    <w:p>
      <w:pPr>
        <w:pStyle w:val="2"/>
        <w:numPr>
          <w:ilvl w:val="0"/>
          <w:numId w:val="0"/>
        </w:numPr>
        <w:rPr>
          <w:rFonts w:hint="eastAsia"/>
          <w:lang w:val="en-US" w:eastAsia="zh-CN"/>
        </w:rPr>
      </w:pPr>
    </w:p>
    <w:p>
      <w:pPr>
        <w:pStyle w:val="2"/>
        <w:numPr>
          <w:ilvl w:val="0"/>
          <w:numId w:val="0"/>
        </w:numPr>
        <w:rPr>
          <w:rFonts w:hint="default"/>
          <w:lang w:val="en-US" w:eastAsia="zh-CN"/>
        </w:rPr>
      </w:pPr>
    </w:p>
    <w:p>
      <w:pPr>
        <w:rPr>
          <w:rFonts w:hint="eastAsia"/>
          <w:lang w:val="en-US" w:eastAsia="zh-CN"/>
        </w:rPr>
      </w:pPr>
    </w:p>
    <w:p>
      <w:pPr>
        <w:rPr>
          <w:rFonts w:hint="eastAsia" w:ascii="仿宋_GB2312" w:hAnsi="仿宋_GB2312" w:eastAsia="仿宋_GB2312" w:cs="仿宋_GB2312"/>
          <w:sz w:val="32"/>
          <w:szCs w:val="32"/>
          <w:lang w:val="en-US" w:eastAsia="zh-CN"/>
        </w:rPr>
      </w:pPr>
    </w:p>
    <w:p>
      <w:pPr>
        <w:pStyle w:val="2"/>
        <w:rPr>
          <w:rFonts w:hint="eastAsia"/>
          <w:lang w:val="en-US" w:eastAsia="zh-CN"/>
        </w:rPr>
      </w:pPr>
    </w:p>
    <w:p>
      <w:pPr>
        <w:pStyle w:val="2"/>
        <w:numPr>
          <w:ilvl w:val="0"/>
          <w:numId w:val="0"/>
        </w:numPr>
        <w:rPr>
          <w:rFonts w:hint="default"/>
          <w:lang w:val="en-US" w:eastAsia="zh-CN"/>
        </w:rPr>
      </w:pPr>
    </w:p>
    <w:p>
      <w:pPr>
        <w:pStyle w:val="2"/>
        <w:numPr>
          <w:ilvl w:val="0"/>
          <w:numId w:val="0"/>
        </w:numPr>
        <w:rPr>
          <w:rFonts w:hint="default"/>
          <w:lang w:val="en-US" w:eastAsia="zh-CN"/>
        </w:rPr>
      </w:pPr>
    </w:p>
    <w:p>
      <w:pPr>
        <w:rPr>
          <w:rFonts w:hint="default"/>
          <w:lang w:val="en-US" w:eastAsia="zh-CN"/>
        </w:rPr>
      </w:pPr>
    </w:p>
    <w:p>
      <w:pPr>
        <w:numPr>
          <w:ilvl w:val="0"/>
          <w:numId w:val="0"/>
        </w:numPr>
        <w:rPr>
          <w:rFonts w:hint="default"/>
          <w:lang w:val="en-US" w:eastAsia="zh-CN"/>
        </w:rPr>
      </w:pPr>
    </w:p>
    <w:p>
      <w:pPr>
        <w:jc w:val="left"/>
        <w:rPr>
          <w:rFonts w:hint="eastAsia" w:asciiTheme="minorEastAsia" w:hAnsiTheme="minorEastAsia" w:eastAsiaTheme="minorEastAsia" w:cstheme="minorEastAsia"/>
          <w:sz w:val="28"/>
          <w:szCs w:val="28"/>
          <w:lang w:val="en-US" w:eastAsia="zh-CN"/>
        </w:rPr>
      </w:pPr>
    </w:p>
    <w:p>
      <w:pPr>
        <w:jc w:val="left"/>
        <w:rPr>
          <w:rFonts w:hint="default" w:asciiTheme="minorEastAsia" w:hAnsiTheme="minorEastAsia" w:eastAsiaTheme="minorEastAsia" w:cstheme="minorEastAsia"/>
          <w:sz w:val="28"/>
          <w:szCs w:val="28"/>
          <w:lang w:val="en-US" w:eastAsia="zh-CN"/>
        </w:rPr>
      </w:pP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FD87D8"/>
    <w:multiLevelType w:val="singleLevel"/>
    <w:tmpl w:val="C7FD87D8"/>
    <w:lvl w:ilvl="0" w:tentative="0">
      <w:start w:val="1"/>
      <w:numFmt w:val="decimal"/>
      <w:suff w:val="nothing"/>
      <w:lvlText w:val="%1、"/>
      <w:lvlJc w:val="left"/>
    </w:lvl>
  </w:abstractNum>
  <w:abstractNum w:abstractNumId="1">
    <w:nsid w:val="674938F4"/>
    <w:multiLevelType w:val="singleLevel"/>
    <w:tmpl w:val="674938F4"/>
    <w:lvl w:ilvl="0" w:tentative="0">
      <w:start w:val="1"/>
      <w:numFmt w:val="decimal"/>
      <w:suff w:val="nothing"/>
      <w:lvlText w:val="%1、"/>
      <w:lvlJc w:val="left"/>
    </w:lvl>
  </w:abstractNum>
  <w:abstractNum w:abstractNumId="2">
    <w:nsid w:val="797E181E"/>
    <w:multiLevelType w:val="singleLevel"/>
    <w:tmpl w:val="797E181E"/>
    <w:lvl w:ilvl="0" w:tentative="0">
      <w:start w:val="2"/>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B4099C"/>
    <w:rsid w:val="0830460A"/>
    <w:rsid w:val="09253E38"/>
    <w:rsid w:val="09302D02"/>
    <w:rsid w:val="0ED565C8"/>
    <w:rsid w:val="112554F9"/>
    <w:rsid w:val="1B12488D"/>
    <w:rsid w:val="1BA34B16"/>
    <w:rsid w:val="1C176D3F"/>
    <w:rsid w:val="21225AA2"/>
    <w:rsid w:val="276D49C1"/>
    <w:rsid w:val="2C113546"/>
    <w:rsid w:val="2C47547A"/>
    <w:rsid w:val="2DB27CD6"/>
    <w:rsid w:val="2F442080"/>
    <w:rsid w:val="3074242F"/>
    <w:rsid w:val="3AFD0C40"/>
    <w:rsid w:val="3BB401CE"/>
    <w:rsid w:val="3C45225F"/>
    <w:rsid w:val="3D6C4081"/>
    <w:rsid w:val="3EED42DC"/>
    <w:rsid w:val="3FAF4D34"/>
    <w:rsid w:val="433A51D9"/>
    <w:rsid w:val="50503D99"/>
    <w:rsid w:val="580B24AD"/>
    <w:rsid w:val="58373CF0"/>
    <w:rsid w:val="59C109BD"/>
    <w:rsid w:val="5CD60E45"/>
    <w:rsid w:val="5DDC1403"/>
    <w:rsid w:val="610F17F1"/>
    <w:rsid w:val="6239013B"/>
    <w:rsid w:val="63076B5E"/>
    <w:rsid w:val="63495DB8"/>
    <w:rsid w:val="66AF09CB"/>
    <w:rsid w:val="66C42F8F"/>
    <w:rsid w:val="6EC47D1D"/>
    <w:rsid w:val="6F583FA4"/>
    <w:rsid w:val="788B67E3"/>
    <w:rsid w:val="7C1B3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iPriority w:val="0"/>
    <w:pPr>
      <w:keepNext/>
      <w:keepLines/>
      <w:spacing w:before="260" w:after="260" w:line="500" w:lineRule="exact"/>
      <w:outlineLvl w:val="1"/>
    </w:pPr>
    <w:rPr>
      <w:rFonts w:ascii="Arial" w:hAnsi="Arial" w:eastAsia="宋体" w:cs="Times New Roman"/>
      <w:b/>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rPr>
      <w:kern w:val="0"/>
      <w:sz w:val="20"/>
    </w:rPr>
  </w:style>
  <w:style w:type="paragraph" w:styleId="4">
    <w:name w:val="Normal Indent"/>
    <w:basedOn w:val="1"/>
    <w:qFormat/>
    <w:uiPriority w:val="0"/>
    <w:pPr>
      <w:ind w:firstLine="420"/>
    </w:pPr>
    <w:rPr>
      <w:rFonts w:ascii="Times New Roman" w:hAnsi="Times New Roman" w:eastAsia="宋体" w:cs="Times New Roman"/>
      <w:sz w:val="21"/>
    </w:rPr>
  </w:style>
  <w:style w:type="paragraph" w:styleId="5">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0">
    <w:name w:val="List Paragraph"/>
    <w:basedOn w:val="1"/>
    <w:qFormat/>
    <w:uiPriority w:val="0"/>
    <w:pPr>
      <w:ind w:firstLine="420" w:firstLineChars="200"/>
    </w:pPr>
    <w:rPr>
      <w:rFonts w:ascii="Times New Roman" w:hAnsi="Times New Roman" w:eastAsia="宋体" w:cs="Times New Roman"/>
    </w:rPr>
  </w:style>
  <w:style w:type="paragraph" w:customStyle="1" w:styleId="1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2022-03-04T07:52:00Z</dcterms:created>
  <dc:creator>Administrator.USER-20190517PR</dc:creator>
  <cp:lastModifiedBy>Lenovo</cp:lastModifiedBy>
  <dcterms:modified xsi:type="dcterms:W3CDTF">2022-03-11T02:31:25Z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