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DD9931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  <w:t>附件：</w:t>
      </w:r>
    </w:p>
    <w:p w14:paraId="6A9931F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</w:pPr>
      <w:bookmarkStart w:id="0" w:name="_GoBack"/>
      <w:bookmarkEnd w:id="0"/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  <w:t>服务内容</w:t>
      </w:r>
    </w:p>
    <w:p w14:paraId="073C5D8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（一）</w:t>
      </w:r>
      <w:r>
        <w:rPr>
          <w:rFonts w:hint="eastAsia" w:ascii="方正楷体_GBK" w:hAnsi="方正楷体_GBK" w:eastAsia="方正楷体_GBK" w:cs="方正楷体_GBK"/>
          <w:sz w:val="32"/>
          <w:szCs w:val="32"/>
        </w:rPr>
        <w:t>质量控制</w:t>
      </w:r>
    </w:p>
    <w:p w14:paraId="475D077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围绕“确保系统符合需求、标准及合同要求”目标，贯穿项目全生命周期：</w:t>
      </w:r>
    </w:p>
    <w:p w14:paraId="68D9ACA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需求阶段：审核《需求规格说明书》的完整性、一致性，确认需求基线，避免需求模糊或蔓延。</w:t>
      </w:r>
    </w:p>
    <w:p w14:paraId="23D7EA3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设计阶段：评审系统架构（如可扩展性、高可用性）、详细设计（数据库、接口）的合理性，验证是否符合技术标准（如GB/T 8567）和行业规范。</w:t>
      </w:r>
    </w:p>
    <w:p w14:paraId="108FCA1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开发阶段：抽查关键模块代码（如核心业务逻辑）的规范性、性能；监督开发流程（如敏捷/瀑布）执行，确保代码质量达标。</w:t>
      </w:r>
    </w:p>
    <w:p w14:paraId="455CECD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测试阶段：审核测试方案（功能/性能/安全测试）的覆盖性，监督测试执行及缺陷闭环（如严重缺陷需100%修复）。</w:t>
      </w:r>
    </w:p>
    <w:p w14:paraId="2BED096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6.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验收阶段：核查交付物（系统、文档、设备）是否符合合同要求，组织预验收与正式验收，确保系统质量达标。</w:t>
      </w:r>
    </w:p>
    <w:p w14:paraId="21C7928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（二）</w:t>
      </w:r>
      <w:r>
        <w:rPr>
          <w:rFonts w:hint="default" w:ascii="方正楷体_GBK" w:hAnsi="方正楷体_GBK" w:eastAsia="方正楷体_GBK" w:cs="方正楷体_GBK"/>
          <w:sz w:val="32"/>
          <w:szCs w:val="32"/>
        </w:rPr>
        <w:t>进度控制</w:t>
      </w:r>
    </w:p>
    <w:p w14:paraId="07BC8FB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以“保障项目按计划推进”为目标，监控关键节点：制定项目总进度计划（如需求分析→设计→开发→测试→验收），明确各阶段里程碑（如需求确认时间、上线时间）。</w:t>
      </w:r>
    </w:p>
    <w:p w14:paraId="7C008D4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定期对比实际进度与计划（如周报/月报分析），识别偏差（如开发延迟、测试延期）。</w:t>
      </w:r>
    </w:p>
    <w:p w14:paraId="5C28E4D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协调资源解决延期风险（如增加人力、调整任务优先级），必要时建议承建方优化计划（如压缩非关键路径）。</w:t>
      </w:r>
    </w:p>
    <w:p w14:paraId="3325C04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（三）</w:t>
      </w:r>
      <w:r>
        <w:rPr>
          <w:rFonts w:hint="default" w:ascii="方正楷体_GBK" w:hAnsi="方正楷体_GBK" w:eastAsia="方正楷体_GBK" w:cs="方正楷体_GBK"/>
          <w:sz w:val="32"/>
          <w:szCs w:val="32"/>
        </w:rPr>
        <w:t>成本控制</w:t>
      </w:r>
    </w:p>
    <w:p w14:paraId="0750A62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聚焦“避免超预算、杜绝不合理支出”：</w:t>
      </w:r>
    </w:p>
    <w:p w14:paraId="3C0DD98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审核承建方的费用申请（如人员投入、设备采购），核查与合同/预算的一致性。</w:t>
      </w:r>
    </w:p>
    <w:p w14:paraId="6B22BED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监督变更对成本的影响（如需求新增导致开发量增加），评估变更费用的合理性。</w:t>
      </w:r>
    </w:p>
    <w:p w14:paraId="0263573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跟踪第三方采购（如硬件、软件授权）的成本执行，确保采购价格符合市场标准。</w:t>
      </w:r>
    </w:p>
    <w:p w14:paraId="61139F2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（四）</w:t>
      </w:r>
      <w:r>
        <w:rPr>
          <w:rFonts w:hint="default" w:ascii="方正楷体_GBK" w:hAnsi="方正楷体_GBK" w:eastAsia="方正楷体_GBK" w:cs="方正楷体_GBK"/>
          <w:sz w:val="32"/>
          <w:szCs w:val="32"/>
        </w:rPr>
        <w:t>变更控制</w:t>
      </w:r>
    </w:p>
    <w:p w14:paraId="1113DB2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规范“变更流程，降低变更风险”：</w:t>
      </w:r>
    </w:p>
    <w:p w14:paraId="73B7F03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受理变更申请（需求/设计/功能变更），审核其必要性（业务价值）、影响范围（如对进度、成本、其他模块的影响）。</w:t>
      </w:r>
    </w:p>
    <w:p w14:paraId="2FD2A2D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监督变更实施过程（如备份、回滚方案），验证变更后系统的稳定性（如功能测试、性能测试）。</w:t>
      </w:r>
    </w:p>
    <w:p w14:paraId="52FEE56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禁止未经审批的“先改后报”行为，确保所有变更可追溯、可验证。</w:t>
      </w:r>
    </w:p>
    <w:p w14:paraId="120DD7D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（五）</w:t>
      </w:r>
      <w:r>
        <w:rPr>
          <w:rFonts w:hint="default" w:ascii="方正楷体_GBK" w:hAnsi="方正楷体_GBK" w:eastAsia="方正楷体_GBK" w:cs="方正楷体_GBK"/>
          <w:sz w:val="32"/>
          <w:szCs w:val="32"/>
        </w:rPr>
        <w:t>安全管理</w:t>
      </w:r>
    </w:p>
    <w:p w14:paraId="4D4BF1A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保障系统“安全合规、风险可控”：</w:t>
      </w:r>
    </w:p>
    <w:p w14:paraId="6790558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需求阶段：审核安全需求（如数据加密、访问控制、身份认证）的完整性。</w:t>
      </w:r>
    </w:p>
    <w:p w14:paraId="71552D8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设计阶段：监督安全架构设计（如网络安全分区、漏洞防护机制）的合理性。</w:t>
      </w:r>
    </w:p>
    <w:p w14:paraId="719D2C1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实施阶段：检查安全措施落实（如安全补丁安装、敏感数据脱敏）。</w:t>
      </w:r>
    </w:p>
    <w:p w14:paraId="488FC45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测试阶段：监督安全测试（渗透测试、漏洞扫描）的执行，确保高危漏洞（如SQL注入、XSS）闭环。</w:t>
      </w:r>
    </w:p>
    <w:p w14:paraId="30D9151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运维阶段：审核安全策略（如账号权限管理、日志审计），监督应急响应（如安全事件处理）。</w:t>
      </w:r>
    </w:p>
    <w:p w14:paraId="613992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（六）</w:t>
      </w:r>
      <w:r>
        <w:rPr>
          <w:rFonts w:hint="default" w:ascii="方正楷体_GBK" w:hAnsi="方正楷体_GBK" w:eastAsia="方正楷体_GBK" w:cs="方正楷体_GBK"/>
          <w:sz w:val="32"/>
          <w:szCs w:val="32"/>
        </w:rPr>
        <w:t>信息管理</w:t>
      </w:r>
    </w:p>
    <w:p w14:paraId="740F1DB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确保“项目信息规范、透明、可追溯”：</w:t>
      </w:r>
    </w:p>
    <w:p w14:paraId="44C7925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文档管理：监督承建方按标准提交文档（需求规格、设计说明书、测试报告、运维手册），整理归档形成项目知识资产。</w:t>
      </w:r>
    </w:p>
    <w:p w14:paraId="647CF5A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信息传递：通过监理例会、周报/月报等机制，汇总项目进展、问题及下一步计划，确保业主、承建方信息同步。</w:t>
      </w:r>
    </w:p>
    <w:p w14:paraId="40469C4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数据管理：监督开发/测试数据的合规性（如脱敏处理），避免敏感数据泄露。</w:t>
      </w:r>
    </w:p>
    <w:p w14:paraId="06572AB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（七）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合同管理</w:t>
      </w:r>
    </w:p>
    <w:p w14:paraId="5660ACA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保障“双方按约履约，风险共担”：</w:t>
      </w:r>
    </w:p>
    <w:p w14:paraId="0A4E8E9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合同签订前：协助业主审核合同条款（交付标准、验收流程、违约责任），避免漏洞。</w:t>
      </w:r>
    </w:p>
    <w:p w14:paraId="535A6CC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合同执行中：监督承建方履行义务（如按时交付、符合质量要求），跟踪付款条件（如阶段验收后支付）。</w:t>
      </w:r>
    </w:p>
    <w:p w14:paraId="6ED4EE4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纠纷处理：协调解决合同争议（如交付物不达标、延期责任），必要时建议通过法律途径解决。</w:t>
      </w:r>
    </w:p>
    <w:p w14:paraId="3098429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（八）</w:t>
      </w:r>
      <w:r>
        <w:rPr>
          <w:rFonts w:hint="eastAsia" w:ascii="方正楷体_GBK" w:hAnsi="方正楷体_GBK" w:eastAsia="方正楷体_GBK" w:cs="方正楷体_GBK"/>
          <w:sz w:val="32"/>
          <w:szCs w:val="32"/>
        </w:rPr>
        <w:t>协调</w:t>
      </w: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工作</w:t>
      </w:r>
    </w:p>
    <w:p w14:paraId="48DB07B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作为独立第三方，协调业主、承建方、供应商、第三方机构等多方关系</w:t>
      </w:r>
    </w:p>
    <w:p w14:paraId="1A55B53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日常协调：定期召开监理例会，汇总问题并推动解决（如需求分歧、资源不足）；</w:t>
      </w:r>
    </w:p>
    <w:p w14:paraId="6FFFE16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冲突调解：平衡各方诉求（如业主希望提前上线 vs 承建方需更多时间测试），提出中立建议；</w:t>
      </w:r>
    </w:p>
    <w:p w14:paraId="5BE7D3E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资源整合：协助业主对接外部资源（如行业专家、第三方检测机构），推动项目关键节点落地。</w:t>
      </w:r>
    </w:p>
    <w:p w14:paraId="7C5A8BE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05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E54A1" w:themeColor="accent1" w:themeShade="BF"/>
      <w:sz w:val="48"/>
      <w:szCs w:val="4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2025-09-15T09:49:39Z</dcterms:created>
  <dc:creator>Administrator</dc:creator>
  <cp:lastModifiedBy>李盈</cp:lastModifiedBy>
  <dcterms:modified xsi:type="dcterms:W3CDTF">2025-09-15T09:50:12Z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eyJoZGlkIjoiZDE0MGRlNDUyYzFmN2U0ZDNlMGIzNjY3YWFjMTQ5ZmUiLCJ1c2VySWQiOiIzNjY5NjUyMzIifQ==</vt:lpwstr>
  </property>
  <property fmtid="{D5CDD505-2E9C-101B-9397-08002B2CF9AE}" pid="4" name="ICV">
    <vt:lpwstr>5E97F48CC5024AB3B6856C00FEFBA463_12</vt:lpwstr>
  </property>
</Properties>
</file>