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jc w:val="center"/>
        <w:rPr>
          <w:rFonts w:ascii="方正小标宋_GBK" w:eastAsia="方正小标宋_GBK"/>
          <w:sz w:val="72"/>
          <w:szCs w:val="72"/>
        </w:rPr>
      </w:pPr>
      <w:bookmarkStart w:id="0" w:name="_Toc15377193"/>
      <w:bookmarkStart w:id="1" w:name="_Toc15396597"/>
      <w:bookmarkStart w:id="2" w:name="_Toc19087152"/>
      <w:bookmarkStart w:id="3" w:name="_Toc15377425"/>
      <w:bookmarkStart w:id="4" w:name="_Toc15396475"/>
      <w:bookmarkStart w:id="5" w:name="_Toc15378441"/>
      <w:r>
        <w:rPr>
          <w:rFonts w:hint="eastAsia" w:ascii="方正小标宋_GBK" w:eastAsia="方正小标宋_GBK"/>
          <w:sz w:val="72"/>
          <w:szCs w:val="72"/>
        </w:rPr>
        <w:t>2022年度</w:t>
      </w:r>
      <w:bookmarkEnd w:id="0"/>
      <w:bookmarkEnd w:id="1"/>
      <w:bookmarkEnd w:id="2"/>
      <w:bookmarkEnd w:id="3"/>
      <w:bookmarkEnd w:id="4"/>
      <w:bookmarkEnd w:id="5"/>
      <w:bookmarkStart w:id="6" w:name="_Toc19087153"/>
      <w:bookmarkStart w:id="7" w:name="_Toc15396476"/>
      <w:bookmarkStart w:id="8" w:name="_Toc15377194"/>
      <w:bookmarkStart w:id="9" w:name="_Toc15396598"/>
      <w:bookmarkStart w:id="10" w:name="_Toc15378442"/>
      <w:bookmarkStart w:id="11" w:name="_Toc15377426"/>
    </w:p>
    <w:p>
      <w:pPr>
        <w:jc w:val="center"/>
        <w:rPr>
          <w:rFonts w:ascii="方正小标宋_GBK" w:eastAsia="方正小标宋_GBK"/>
          <w:sz w:val="72"/>
          <w:szCs w:val="72"/>
        </w:rPr>
      </w:pPr>
      <w:r>
        <w:rPr>
          <w:rFonts w:hint="eastAsia" w:ascii="方正小标宋_GBK" w:eastAsia="方正小标宋_GBK"/>
          <w:sz w:val="72"/>
          <w:szCs w:val="72"/>
        </w:rPr>
        <w:t>成都市青羊区</w:t>
      </w:r>
      <w:bookmarkStart w:id="12" w:name="_Toc15306268"/>
      <w:r>
        <w:rPr>
          <w:rFonts w:hint="eastAsia" w:ascii="方正小标宋_GBK" w:eastAsia="方正小标宋_GBK"/>
          <w:sz w:val="72"/>
          <w:szCs w:val="72"/>
          <w:lang w:eastAsia="zh-CN"/>
        </w:rPr>
        <w:t>成都儿童专科医院</w:t>
      </w:r>
      <w:r>
        <w:rPr>
          <w:rFonts w:hint="eastAsia" w:ascii="方正小标宋_GBK" w:eastAsia="方正小标宋_GBK"/>
          <w:sz w:val="72"/>
          <w:szCs w:val="72"/>
        </w:rPr>
        <w:t>部门决算</w:t>
      </w:r>
      <w:bookmarkEnd w:id="6"/>
      <w:bookmarkEnd w:id="7"/>
      <w:bookmarkEnd w:id="8"/>
      <w:bookmarkEnd w:id="9"/>
      <w:bookmarkEnd w:id="10"/>
      <w:bookmarkEnd w:id="11"/>
      <w:bookmarkEnd w:id="12"/>
      <w:bookmarkStart w:id="13" w:name="_Toc19087154"/>
    </w:p>
    <w:bookmarkEnd w:id="13"/>
    <w:p>
      <w:pPr>
        <w:topLinePunct/>
        <w:snapToGrid w:val="0"/>
        <w:jc w:val="center"/>
        <w:rPr>
          <w:rFonts w:eastAsia="方正小标宋_GBK"/>
          <w:color w:val="000000" w:themeColor="text1"/>
          <w:sz w:val="48"/>
          <w:szCs w:val="48"/>
        </w:rPr>
      </w:pPr>
      <w:r>
        <w:rPr>
          <w:rFonts w:eastAsia="方正小标宋简体"/>
          <w:color w:val="000000"/>
          <w:sz w:val="36"/>
          <w:szCs w:val="36"/>
        </w:rPr>
        <w:br w:type="page"/>
      </w:r>
      <w:r>
        <w:rPr>
          <w:rFonts w:eastAsia="方正小标宋_GBK"/>
          <w:color w:val="000000" w:themeColor="text1"/>
          <w:sz w:val="48"/>
          <w:szCs w:val="48"/>
        </w:rPr>
        <w:t>目录</w:t>
      </w:r>
    </w:p>
    <w:p>
      <w:pPr>
        <w:pStyle w:val="14"/>
        <w:rPr>
          <w:color w:val="000000" w:themeColor="text1"/>
          <w:highlight w:val="none"/>
        </w:rPr>
      </w:pPr>
      <w:r>
        <w:rPr>
          <w:rFonts w:hint="eastAsia"/>
          <w:color w:val="000000" w:themeColor="text1"/>
          <w:highlight w:val="none"/>
        </w:rPr>
        <w:t>公开时间：2023年</w:t>
      </w:r>
      <w:r>
        <w:rPr>
          <w:rFonts w:hint="eastAsia"/>
          <w:color w:val="000000" w:themeColor="text1"/>
          <w:highlight w:val="none"/>
          <w:lang w:val="en-US" w:eastAsia="zh-CN"/>
        </w:rPr>
        <w:t>09</w:t>
      </w:r>
      <w:r>
        <w:rPr>
          <w:rFonts w:hint="eastAsia"/>
          <w:color w:val="000000" w:themeColor="text1"/>
          <w:highlight w:val="none"/>
        </w:rPr>
        <w:t>月</w:t>
      </w:r>
      <w:r>
        <w:rPr>
          <w:rFonts w:hint="eastAsia"/>
          <w:color w:val="000000" w:themeColor="text1"/>
          <w:highlight w:val="none"/>
          <w:lang w:val="en-US" w:eastAsia="zh-CN"/>
        </w:rPr>
        <w:t>19</w:t>
      </w:r>
      <w:r>
        <w:rPr>
          <w:rFonts w:hint="eastAsia"/>
          <w:color w:val="000000" w:themeColor="text1"/>
          <w:highlight w:val="none"/>
        </w:rPr>
        <w:t>日</w:t>
      </w:r>
    </w:p>
    <w:p>
      <w:pPr>
        <w:pStyle w:val="14"/>
        <w:rPr>
          <w:rFonts w:asciiTheme="minorHAnsi" w:hAnsiTheme="minorHAnsi" w:eastAsiaTheme="minorEastAsia" w:cstheme="minorBidi"/>
          <w:color w:val="000000" w:themeColor="text1"/>
          <w:sz w:val="21"/>
          <w:szCs w:val="22"/>
        </w:rPr>
      </w:pPr>
      <w:r>
        <w:rPr>
          <w:color w:val="000000" w:themeColor="text1"/>
        </w:rPr>
        <w:fldChar w:fldCharType="begin"/>
      </w:r>
      <w:r>
        <w:rPr>
          <w:color w:val="000000" w:themeColor="text1"/>
        </w:rPr>
        <w:instrText xml:space="preserve"> TOC \o "1-2" \h \z \u </w:instrText>
      </w:r>
      <w:r>
        <w:rPr>
          <w:color w:val="000000" w:themeColor="text1"/>
        </w:rPr>
        <w:fldChar w:fldCharType="separate"/>
      </w:r>
      <w:r>
        <w:fldChar w:fldCharType="begin"/>
      </w:r>
      <w:r>
        <w:instrText xml:space="preserve"> HYPERLINK \l "_Toc144134971" </w:instrText>
      </w:r>
      <w:r>
        <w:fldChar w:fldCharType="separate"/>
      </w:r>
      <w:r>
        <w:rPr>
          <w:rStyle w:val="24"/>
          <w:rFonts w:hint="eastAsia" w:ascii="方正黑体_GBK"/>
          <w:color w:val="000000" w:themeColor="text1"/>
        </w:rPr>
        <w:t>第一部分单位概况</w:t>
      </w:r>
      <w:r>
        <w:rPr>
          <w:color w:val="000000" w:themeColor="text1"/>
        </w:rPr>
        <w:tab/>
      </w:r>
      <w:r>
        <w:rPr>
          <w:color w:val="000000" w:themeColor="text1"/>
        </w:rPr>
        <w:fldChar w:fldCharType="begin"/>
      </w:r>
      <w:r>
        <w:rPr>
          <w:color w:val="000000" w:themeColor="text1"/>
        </w:rPr>
        <w:instrText xml:space="preserve"> PAGEREF _Toc144134971 \h </w:instrText>
      </w:r>
      <w:r>
        <w:rPr>
          <w:color w:val="000000" w:themeColor="text1"/>
        </w:rPr>
        <w:fldChar w:fldCharType="separate"/>
      </w:r>
      <w:r>
        <w:rPr>
          <w:color w:val="000000" w:themeColor="text1"/>
        </w:rPr>
        <w:t>4</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"_Toc144134972" </w:instrText>
      </w:r>
      <w:r>
        <w:fldChar w:fldCharType="separate"/>
      </w:r>
      <w:r>
        <w:rPr>
          <w:rStyle w:val="24"/>
          <w:rFonts w:hint="eastAsia" w:eastAsia="方正黑体_GBK"/>
          <w:color w:val="000000" w:themeColor="text1"/>
        </w:rPr>
        <w:t>一、基本职能及主要工作</w:t>
      </w:r>
      <w:r>
        <w:rPr>
          <w:color w:val="000000" w:themeColor="text1"/>
        </w:rPr>
        <w:tab/>
      </w:r>
      <w:r>
        <w:rPr>
          <w:color w:val="000000" w:themeColor="text1"/>
        </w:rPr>
        <w:fldChar w:fldCharType="begin"/>
      </w:r>
      <w:r>
        <w:rPr>
          <w:color w:val="000000" w:themeColor="text1"/>
        </w:rPr>
        <w:instrText xml:space="preserve"> PAGEREF _Toc144134972 \h </w:instrText>
      </w:r>
      <w:r>
        <w:rPr>
          <w:color w:val="000000" w:themeColor="text1"/>
        </w:rPr>
        <w:fldChar w:fldCharType="separate"/>
      </w:r>
      <w:r>
        <w:rPr>
          <w:color w:val="000000" w:themeColor="text1"/>
        </w:rPr>
        <w:t>4</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"_Toc144134973" </w:instrText>
      </w:r>
      <w:r>
        <w:fldChar w:fldCharType="separate"/>
      </w:r>
      <w:r>
        <w:rPr>
          <w:rStyle w:val="24"/>
          <w:rFonts w:hint="eastAsia" w:eastAsia="方正黑体_GBK"/>
          <w:color w:val="000000" w:themeColor="text1"/>
        </w:rPr>
        <w:t>二、机构设置</w:t>
      </w:r>
      <w:r>
        <w:rPr>
          <w:color w:val="000000" w:themeColor="text1"/>
        </w:rPr>
        <w:tab/>
      </w:r>
      <w:r>
        <w:rPr>
          <w:color w:val="000000" w:themeColor="text1"/>
        </w:rPr>
        <w:fldChar w:fldCharType="begin"/>
      </w:r>
      <w:r>
        <w:rPr>
          <w:color w:val="000000" w:themeColor="text1"/>
        </w:rPr>
        <w:instrText xml:space="preserve"> PAGEREF _Toc144134973 \h </w:instrText>
      </w:r>
      <w:r>
        <w:rPr>
          <w:color w:val="000000" w:themeColor="text1"/>
        </w:rPr>
        <w:fldChar w:fldCharType="separate"/>
      </w:r>
      <w:r>
        <w:rPr>
          <w:color w:val="000000" w:themeColor="text1"/>
        </w:rPr>
        <w:t>6</w:t>
      </w:r>
      <w:r>
        <w:rPr>
          <w:color w:val="000000" w:themeColor="text1"/>
        </w:rPr>
        <w:fldChar w:fldCharType="end"/>
      </w:r>
      <w:r>
        <w:rPr>
          <w:color w:val="000000" w:themeColor="text1"/>
        </w:rPr>
        <w:fldChar w:fldCharType="end"/>
      </w:r>
    </w:p>
    <w:p>
      <w:pPr>
        <w:pStyle w:val="14"/>
        <w:rPr>
          <w:rFonts w:asciiTheme="minorHAnsi" w:hAnsiTheme="minorHAnsi" w:eastAsiaTheme="minorEastAsia" w:cstheme="minorBidi"/>
          <w:color w:val="000000" w:themeColor="text1"/>
          <w:sz w:val="21"/>
          <w:szCs w:val="22"/>
        </w:rPr>
      </w:pPr>
      <w:r>
        <w:fldChar w:fldCharType="begin"/>
      </w:r>
      <w:r>
        <w:instrText xml:space="preserve"> HYPERLINK \l "_Toc144134974" </w:instrText>
      </w:r>
      <w:r>
        <w:fldChar w:fldCharType="separate"/>
      </w:r>
      <w:r>
        <w:rPr>
          <w:rStyle w:val="24"/>
          <w:rFonts w:hint="eastAsia"/>
          <w:color w:val="000000" w:themeColor="text1"/>
        </w:rPr>
        <w:t>第二部分</w:t>
      </w:r>
      <w:r>
        <w:rPr>
          <w:rStyle w:val="24"/>
          <w:color w:val="000000" w:themeColor="text1"/>
        </w:rPr>
        <w:t xml:space="preserve"> 2022</w:t>
      </w:r>
      <w:r>
        <w:rPr>
          <w:rStyle w:val="24"/>
          <w:rFonts w:hint="eastAsia"/>
          <w:color w:val="000000" w:themeColor="text1"/>
        </w:rPr>
        <w:t>年度单位决算情况说明</w:t>
      </w:r>
      <w:r>
        <w:rPr>
          <w:color w:val="000000" w:themeColor="text1"/>
        </w:rPr>
        <w:tab/>
      </w:r>
      <w:r>
        <w:rPr>
          <w:color w:val="000000" w:themeColor="text1"/>
        </w:rPr>
        <w:fldChar w:fldCharType="begin"/>
      </w:r>
      <w:r>
        <w:rPr>
          <w:color w:val="000000" w:themeColor="text1"/>
        </w:rPr>
        <w:instrText xml:space="preserve"> PAGEREF _Toc144134974 \h </w:instrText>
      </w:r>
      <w:r>
        <w:rPr>
          <w:color w:val="000000" w:themeColor="text1"/>
        </w:rPr>
        <w:fldChar w:fldCharType="separate"/>
      </w:r>
      <w:r>
        <w:rPr>
          <w:color w:val="000000" w:themeColor="text1"/>
        </w:rPr>
        <w:t>7</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"_Toc144134975" </w:instrText>
      </w:r>
      <w:r>
        <w:fldChar w:fldCharType="separate"/>
      </w:r>
      <w:r>
        <w:rPr>
          <w:rStyle w:val="24"/>
          <w:rFonts w:hint="eastAsia" w:eastAsia="方正黑体_GBK"/>
          <w:color w:val="000000" w:themeColor="text1"/>
        </w:rPr>
        <w:t>一、收入支出决算总体情况说明</w:t>
      </w:r>
      <w:r>
        <w:rPr>
          <w:color w:val="000000" w:themeColor="text1"/>
        </w:rPr>
        <w:tab/>
      </w:r>
      <w:r>
        <w:rPr>
          <w:color w:val="000000" w:themeColor="text1"/>
        </w:rPr>
        <w:fldChar w:fldCharType="begin"/>
      </w:r>
      <w:r>
        <w:rPr>
          <w:color w:val="000000" w:themeColor="text1"/>
        </w:rPr>
        <w:instrText xml:space="preserve"> PAGEREF _Toc144134975 \h </w:instrText>
      </w:r>
      <w:r>
        <w:rPr>
          <w:color w:val="000000" w:themeColor="text1"/>
        </w:rPr>
        <w:fldChar w:fldCharType="separate"/>
      </w:r>
      <w:r>
        <w:rPr>
          <w:color w:val="000000" w:themeColor="text1"/>
        </w:rPr>
        <w:t>7</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"_Toc144134976" </w:instrText>
      </w:r>
      <w:r>
        <w:fldChar w:fldCharType="separate"/>
      </w:r>
      <w:r>
        <w:rPr>
          <w:rStyle w:val="24"/>
          <w:rFonts w:hint="eastAsia" w:eastAsia="方正黑体_GBK"/>
          <w:color w:val="000000" w:themeColor="text1"/>
        </w:rPr>
        <w:t>二、收入决算情况说明</w:t>
      </w:r>
      <w:r>
        <w:rPr>
          <w:color w:val="000000" w:themeColor="text1"/>
        </w:rPr>
        <w:tab/>
      </w:r>
      <w:r>
        <w:rPr>
          <w:color w:val="000000" w:themeColor="text1"/>
        </w:rPr>
        <w:fldChar w:fldCharType="begin"/>
      </w:r>
      <w:r>
        <w:rPr>
          <w:color w:val="000000" w:themeColor="text1"/>
        </w:rPr>
        <w:instrText xml:space="preserve"> PAGEREF _Toc144134976 \h </w:instrText>
      </w:r>
      <w:r>
        <w:rPr>
          <w:color w:val="000000" w:themeColor="text1"/>
        </w:rPr>
        <w:fldChar w:fldCharType="separate"/>
      </w:r>
      <w:r>
        <w:rPr>
          <w:color w:val="000000" w:themeColor="text1"/>
        </w:rPr>
        <w:t>7</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"_Toc144134977" </w:instrText>
      </w:r>
      <w:r>
        <w:fldChar w:fldCharType="separate"/>
      </w:r>
      <w:r>
        <w:rPr>
          <w:rStyle w:val="24"/>
          <w:rFonts w:hint="eastAsia" w:eastAsia="方正黑体_GBK"/>
          <w:color w:val="000000" w:themeColor="text1"/>
        </w:rPr>
        <w:t>三、支出决算情况说明</w:t>
      </w:r>
      <w:r>
        <w:rPr>
          <w:color w:val="000000" w:themeColor="text1"/>
        </w:rPr>
        <w:tab/>
      </w:r>
      <w:r>
        <w:rPr>
          <w:color w:val="000000" w:themeColor="text1"/>
        </w:rPr>
        <w:fldChar w:fldCharType="begin"/>
      </w:r>
      <w:r>
        <w:rPr>
          <w:color w:val="000000" w:themeColor="text1"/>
        </w:rPr>
        <w:instrText xml:space="preserve"> PAGEREF _Toc144134977 \h </w:instrText>
      </w:r>
      <w:r>
        <w:rPr>
          <w:color w:val="000000" w:themeColor="text1"/>
        </w:rPr>
        <w:fldChar w:fldCharType="separate"/>
      </w:r>
      <w:r>
        <w:rPr>
          <w:color w:val="000000" w:themeColor="text1"/>
        </w:rPr>
        <w:t>8</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"_Toc144134978" </w:instrText>
      </w:r>
      <w:r>
        <w:fldChar w:fldCharType="separate"/>
      </w:r>
      <w:r>
        <w:rPr>
          <w:rStyle w:val="24"/>
          <w:rFonts w:hint="eastAsia" w:ascii="方正黑体_GBK" w:eastAsia="方正黑体_GBK"/>
          <w:color w:val="000000" w:themeColor="text1"/>
        </w:rPr>
        <w:t>四、财政拨款收入支出决算总体情况说明</w:t>
      </w:r>
      <w:r>
        <w:rPr>
          <w:color w:val="000000" w:themeColor="text1"/>
        </w:rPr>
        <w:tab/>
      </w:r>
      <w:r>
        <w:rPr>
          <w:color w:val="000000" w:themeColor="text1"/>
        </w:rPr>
        <w:fldChar w:fldCharType="begin"/>
      </w:r>
      <w:r>
        <w:rPr>
          <w:color w:val="000000" w:themeColor="text1"/>
        </w:rPr>
        <w:instrText xml:space="preserve"> PAGEREF _Toc144134978 \h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"_Toc144134979" </w:instrText>
      </w:r>
      <w:r>
        <w:fldChar w:fldCharType="separate"/>
      </w:r>
      <w:r>
        <w:rPr>
          <w:rStyle w:val="24"/>
          <w:rFonts w:hint="eastAsia" w:ascii="方正黑体_GBK" w:eastAsia="方正黑体_GBK"/>
          <w:color w:val="000000" w:themeColor="text1"/>
        </w:rPr>
        <w:t>五、一般公共预算财政拨款支出决算情况说明</w:t>
      </w:r>
      <w:r>
        <w:rPr>
          <w:color w:val="000000" w:themeColor="text1"/>
        </w:rPr>
        <w:tab/>
      </w:r>
      <w:r>
        <w:rPr>
          <w:color w:val="000000" w:themeColor="text1"/>
        </w:rPr>
        <w:fldChar w:fldCharType="begin"/>
      </w:r>
      <w:r>
        <w:rPr>
          <w:color w:val="000000" w:themeColor="text1"/>
        </w:rPr>
        <w:instrText xml:space="preserve"> PAGEREF _Toc144134979 \h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"_Toc144134980" </w:instrText>
      </w:r>
      <w:r>
        <w:fldChar w:fldCharType="separate"/>
      </w:r>
      <w:r>
        <w:rPr>
          <w:rStyle w:val="24"/>
          <w:rFonts w:hint="eastAsia" w:ascii="方正黑体_GBK" w:eastAsia="方正黑体_GBK"/>
          <w:color w:val="000000" w:themeColor="text1"/>
        </w:rPr>
        <w:t>六、一般公共预算财政拨款基本支出决算情况说明</w:t>
      </w:r>
      <w:r>
        <w:rPr>
          <w:color w:val="000000" w:themeColor="text1"/>
        </w:rPr>
        <w:tab/>
      </w:r>
      <w:r>
        <w:rPr>
          <w:color w:val="000000" w:themeColor="text1"/>
        </w:rPr>
        <w:fldChar w:fldCharType="begin"/>
      </w:r>
      <w:r>
        <w:rPr>
          <w:color w:val="000000" w:themeColor="text1"/>
        </w:rPr>
        <w:instrText xml:space="preserve"> PAGEREF _Toc144134980 \h </w:instrText>
      </w:r>
      <w:r>
        <w:rPr>
          <w:color w:val="000000" w:themeColor="text1"/>
        </w:rPr>
        <w:fldChar w:fldCharType="separate"/>
      </w:r>
      <w:r>
        <w:rPr>
          <w:color w:val="000000" w:themeColor="text1"/>
        </w:rPr>
        <w:t>12</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"_Toc144134981" </w:instrText>
      </w:r>
      <w:r>
        <w:fldChar w:fldCharType="separate"/>
      </w:r>
      <w:r>
        <w:rPr>
          <w:rStyle w:val="24"/>
          <w:rFonts w:hint="eastAsia" w:ascii="方正黑体_GBK" w:eastAsia="方正黑体_GBK"/>
          <w:color w:val="000000" w:themeColor="text1"/>
        </w:rPr>
        <w:t>七、财政拨款</w:t>
      </w:r>
      <w:r>
        <w:rPr>
          <w:rStyle w:val="24"/>
          <w:rFonts w:ascii="方正黑体_GBK" w:eastAsia="方正黑体_GBK"/>
          <w:b/>
          <w:bCs/>
          <w:color w:val="000000" w:themeColor="text1"/>
        </w:rPr>
        <w:t>“</w:t>
      </w:r>
      <w:r>
        <w:rPr>
          <w:rStyle w:val="24"/>
          <w:rFonts w:hint="eastAsia" w:ascii="方正黑体_GBK" w:eastAsia="方正黑体_GBK"/>
          <w:color w:val="000000" w:themeColor="text1"/>
        </w:rPr>
        <w:t>三公</w:t>
      </w:r>
      <w:r>
        <w:rPr>
          <w:rStyle w:val="24"/>
          <w:rFonts w:ascii="方正黑体_GBK" w:eastAsia="方正黑体_GBK"/>
          <w:color w:val="000000" w:themeColor="text1"/>
        </w:rPr>
        <w:t>”</w:t>
      </w:r>
      <w:r>
        <w:rPr>
          <w:rStyle w:val="24"/>
          <w:rFonts w:hint="eastAsia" w:ascii="方正黑体_GBK" w:eastAsia="方正黑体_GBK"/>
          <w:color w:val="000000" w:themeColor="text1"/>
        </w:rPr>
        <w:t>经费支出决算情况说明</w:t>
      </w:r>
      <w:r>
        <w:rPr>
          <w:color w:val="000000" w:themeColor="text1"/>
        </w:rPr>
        <w:tab/>
      </w:r>
      <w:r>
        <w:rPr>
          <w:color w:val="000000" w:themeColor="text1"/>
        </w:rPr>
        <w:fldChar w:fldCharType="begin"/>
      </w:r>
      <w:r>
        <w:rPr>
          <w:color w:val="000000" w:themeColor="text1"/>
        </w:rPr>
        <w:instrText xml:space="preserve"> PAGEREF _Toc144134981 \h </w:instrText>
      </w:r>
      <w:r>
        <w:rPr>
          <w:color w:val="000000" w:themeColor="text1"/>
        </w:rPr>
        <w:fldChar w:fldCharType="separate"/>
      </w:r>
      <w:r>
        <w:rPr>
          <w:color w:val="000000" w:themeColor="text1"/>
        </w:rPr>
        <w:t>12</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"_Toc144134982" </w:instrText>
      </w:r>
      <w:r>
        <w:fldChar w:fldCharType="separate"/>
      </w:r>
      <w:r>
        <w:rPr>
          <w:rStyle w:val="24"/>
          <w:rFonts w:hint="eastAsia" w:ascii="方正黑体_GBK" w:eastAsia="方正黑体_GBK"/>
          <w:color w:val="000000" w:themeColor="text1"/>
        </w:rPr>
        <w:t>八、政府性基金预算支出决算情况说明</w:t>
      </w:r>
      <w:r>
        <w:rPr>
          <w:color w:val="000000" w:themeColor="text1"/>
        </w:rPr>
        <w:tab/>
      </w:r>
      <w:r>
        <w:rPr>
          <w:color w:val="000000" w:themeColor="text1"/>
        </w:rPr>
        <w:fldChar w:fldCharType="begin"/>
      </w:r>
      <w:r>
        <w:rPr>
          <w:color w:val="000000" w:themeColor="text1"/>
        </w:rPr>
        <w:instrText xml:space="preserve"> PAGEREF _Toc144134982 \h </w:instrText>
      </w:r>
      <w:r>
        <w:rPr>
          <w:color w:val="000000" w:themeColor="text1"/>
        </w:rPr>
        <w:fldChar w:fldCharType="separate"/>
      </w:r>
      <w:r>
        <w:rPr>
          <w:color w:val="000000" w:themeColor="text1"/>
        </w:rPr>
        <w:t>12</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"_Toc144134983" </w:instrText>
      </w:r>
      <w:r>
        <w:fldChar w:fldCharType="separate"/>
      </w:r>
      <w:r>
        <w:rPr>
          <w:rStyle w:val="24"/>
          <w:rFonts w:hint="eastAsia" w:ascii="方正黑体_GBK" w:eastAsia="方正黑体_GBK"/>
          <w:color w:val="000000" w:themeColor="text1"/>
        </w:rPr>
        <w:t>九、国有资本经营预算支出决算情况说明</w:t>
      </w:r>
      <w:r>
        <w:rPr>
          <w:color w:val="000000" w:themeColor="text1"/>
        </w:rPr>
        <w:tab/>
      </w:r>
      <w:r>
        <w:rPr>
          <w:color w:val="000000" w:themeColor="text1"/>
        </w:rPr>
        <w:fldChar w:fldCharType="begin"/>
      </w:r>
      <w:r>
        <w:rPr>
          <w:color w:val="000000" w:themeColor="text1"/>
        </w:rPr>
        <w:instrText xml:space="preserve"> PAGEREF _Toc144134983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"_Toc144134984" </w:instrText>
      </w:r>
      <w:r>
        <w:fldChar w:fldCharType="separate"/>
      </w:r>
      <w:r>
        <w:rPr>
          <w:rStyle w:val="24"/>
          <w:rFonts w:hint="eastAsia" w:ascii="方正黑体_GBK" w:eastAsia="方正黑体_GBK"/>
          <w:color w:val="000000" w:themeColor="text1"/>
        </w:rPr>
        <w:t>十、预算绩效管理情况说明</w:t>
      </w:r>
      <w:r>
        <w:rPr>
          <w:color w:val="000000" w:themeColor="text1"/>
        </w:rPr>
        <w:tab/>
      </w:r>
      <w:r>
        <w:rPr>
          <w:color w:val="000000" w:themeColor="text1"/>
        </w:rPr>
        <w:fldChar w:fldCharType="begin"/>
      </w:r>
      <w:r>
        <w:rPr>
          <w:color w:val="000000" w:themeColor="text1"/>
        </w:rPr>
        <w:instrText xml:space="preserve"> PAGEREF _Toc144134984 \h </w:instrText>
      </w:r>
      <w:r>
        <w:rPr>
          <w:color w:val="000000" w:themeColor="text1"/>
        </w:rPr>
        <w:fldChar w:fldCharType="separate"/>
      </w:r>
      <w:r>
        <w:rPr>
          <w:color w:val="000000" w:themeColor="text1"/>
        </w:rPr>
        <w:t>13</w:t>
      </w:r>
      <w:r>
        <w:rPr>
          <w:color w:val="000000" w:themeColor="text1"/>
        </w:rPr>
        <w:fldChar w:fldCharType="end"/>
      </w:r>
      <w:r>
        <w:rPr>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"_Toc144134985" </w:instrText>
      </w:r>
      <w:r>
        <w:fldChar w:fldCharType="separate"/>
      </w:r>
      <w:r>
        <w:rPr>
          <w:rStyle w:val="24"/>
          <w:rFonts w:hint="eastAsia" w:ascii="方正黑体_GBK" w:eastAsia="方正黑体_GBK"/>
          <w:color w:val="000000" w:themeColor="text1"/>
        </w:rPr>
        <w:t>十一</w:t>
      </w:r>
      <w:r>
        <w:rPr>
          <w:rStyle w:val="24"/>
          <w:rFonts w:hint="eastAsia" w:ascii="方正黑体_GBK" w:eastAsia="方正黑体_GBK"/>
          <w:b/>
          <w:bCs/>
          <w:color w:val="000000" w:themeColor="text1"/>
        </w:rPr>
        <w:t>、</w:t>
      </w:r>
      <w:r>
        <w:rPr>
          <w:rStyle w:val="24"/>
          <w:rFonts w:hint="eastAsia" w:ascii="方正黑体_GBK" w:eastAsia="方正黑体_GBK"/>
          <w:color w:val="000000" w:themeColor="text1"/>
        </w:rPr>
        <w:t>其他重要事项的情况说明</w:t>
      </w:r>
      <w:r>
        <w:rPr>
          <w:color w:val="000000" w:themeColor="text1"/>
        </w:rPr>
        <w:tab/>
      </w:r>
      <w:r>
        <w:rPr>
          <w:color w:val="000000" w:themeColor="text1"/>
        </w:rPr>
        <w:fldChar w:fldCharType="begin"/>
      </w:r>
      <w:r>
        <w:rPr>
          <w:color w:val="000000" w:themeColor="text1"/>
        </w:rPr>
        <w:instrText xml:space="preserve"> PAGEREF _Toc144134985 \h </w:instrText>
      </w:r>
      <w:r>
        <w:rPr>
          <w:color w:val="000000" w:themeColor="text1"/>
        </w:rPr>
        <w:fldChar w:fldCharType="separate"/>
      </w:r>
      <w:r>
        <w:rPr>
          <w:color w:val="000000" w:themeColor="text1"/>
        </w:rPr>
        <w:t>14</w:t>
      </w:r>
      <w:r>
        <w:rPr>
          <w:color w:val="000000" w:themeColor="text1"/>
        </w:rPr>
        <w:fldChar w:fldCharType="end"/>
      </w:r>
      <w:r>
        <w:rPr>
          <w:color w:val="000000" w:themeColor="text1"/>
        </w:rPr>
        <w:fldChar w:fldCharType="end"/>
      </w:r>
    </w:p>
    <w:p>
      <w:pPr>
        <w:pStyle w:val="14"/>
        <w:rPr>
          <w:rFonts w:asciiTheme="minorHAnsi" w:hAnsiTheme="minorHAnsi" w:eastAsiaTheme="minorEastAsia" w:cstheme="minorBidi"/>
          <w:color w:val="000000" w:themeColor="text1"/>
          <w:sz w:val="21"/>
          <w:szCs w:val="22"/>
        </w:rPr>
      </w:pPr>
      <w:r>
        <w:fldChar w:fldCharType="begin"/>
      </w:r>
      <w:r>
        <w:instrText xml:space="preserve"> HYPERLINK \l "_Toc144134986" </w:instrText>
      </w:r>
      <w:r>
        <w:fldChar w:fldCharType="separate"/>
      </w:r>
      <w:r>
        <w:rPr>
          <w:rStyle w:val="24"/>
          <w:rFonts w:hint="eastAsia"/>
          <w:color w:val="000000" w:themeColor="text1"/>
        </w:rPr>
        <w:t>第三部分名词解释</w:t>
      </w:r>
      <w:r>
        <w:rPr>
          <w:color w:val="000000" w:themeColor="text1"/>
        </w:rPr>
        <w:tab/>
      </w:r>
      <w:r>
        <w:rPr>
          <w:color w:val="000000" w:themeColor="text1"/>
        </w:rPr>
        <w:fldChar w:fldCharType="begin"/>
      </w:r>
      <w:r>
        <w:rPr>
          <w:color w:val="000000" w:themeColor="text1"/>
        </w:rPr>
        <w:instrText xml:space="preserve"> PAGEREF _Toc144134986 \h </w:instrText>
      </w:r>
      <w:r>
        <w:rPr>
          <w:color w:val="000000" w:themeColor="text1"/>
        </w:rPr>
        <w:fldChar w:fldCharType="separate"/>
      </w:r>
      <w:r>
        <w:rPr>
          <w:color w:val="000000" w:themeColor="text1"/>
        </w:rPr>
        <w:t>15</w:t>
      </w:r>
      <w:r>
        <w:rPr>
          <w:color w:val="000000" w:themeColor="text1"/>
        </w:rPr>
        <w:fldChar w:fldCharType="end"/>
      </w:r>
      <w:r>
        <w:rPr>
          <w:color w:val="000000" w:themeColor="text1"/>
        </w:rPr>
        <w:fldChar w:fldCharType="end"/>
      </w:r>
    </w:p>
    <w:p>
      <w:pPr>
        <w:pStyle w:val="14"/>
        <w:rPr>
          <w:rFonts w:asciiTheme="minorHAnsi" w:hAnsiTheme="minorHAnsi" w:eastAsiaTheme="minorEastAsia" w:cstheme="minorBidi"/>
          <w:color w:val="000000" w:themeColor="text1"/>
          <w:sz w:val="21"/>
          <w:szCs w:val="22"/>
        </w:rPr>
      </w:pPr>
      <w:r>
        <w:fldChar w:fldCharType="begin"/>
      </w:r>
      <w:r>
        <w:instrText xml:space="preserve"> HYPERLINK \l "_Toc144134987" </w:instrText>
      </w:r>
      <w:r>
        <w:fldChar w:fldCharType="separate"/>
      </w:r>
      <w:r>
        <w:rPr>
          <w:rStyle w:val="24"/>
          <w:rFonts w:hint="eastAsia" w:ascii="方正黑体_GBK"/>
          <w:color w:val="000000" w:themeColor="text1"/>
        </w:rPr>
        <w:t>第</w:t>
      </w:r>
      <w:r>
        <w:rPr>
          <w:rStyle w:val="24"/>
          <w:rFonts w:hint="eastAsia" w:ascii="方正黑体_GBK"/>
          <w:color w:val="000000" w:themeColor="text1"/>
          <w:kern w:val="44"/>
        </w:rPr>
        <w:t>四部分附件</w:t>
      </w:r>
      <w:r>
        <w:rPr>
          <w:color w:val="000000" w:themeColor="text1"/>
        </w:rPr>
        <w:tab/>
      </w:r>
      <w:r>
        <w:rPr>
          <w:color w:val="000000" w:themeColor="text1"/>
        </w:rPr>
        <w:fldChar w:fldCharType="begin"/>
      </w:r>
      <w:r>
        <w:rPr>
          <w:color w:val="000000" w:themeColor="text1"/>
        </w:rPr>
        <w:instrText xml:space="preserve"> PAGEREF _Toc144134987 \h </w:instrText>
      </w:r>
      <w:r>
        <w:rPr>
          <w:color w:val="000000" w:themeColor="text1"/>
        </w:rPr>
        <w:fldChar w:fldCharType="separate"/>
      </w:r>
      <w:r>
        <w:rPr>
          <w:color w:val="000000" w:themeColor="text1"/>
        </w:rPr>
        <w:t>18</w:t>
      </w:r>
      <w:r>
        <w:rPr>
          <w:color w:val="000000" w:themeColor="text1"/>
        </w:rPr>
        <w:fldChar w:fldCharType="end"/>
      </w:r>
      <w:r>
        <w:rPr>
          <w:color w:val="000000" w:themeColor="text1"/>
        </w:rPr>
        <w:fldChar w:fldCharType="end"/>
      </w:r>
    </w:p>
    <w:p>
      <w:pPr>
        <w:pStyle w:val="14"/>
        <w:rPr>
          <w:rFonts w:hint="eastAsia" w:eastAsia="方正黑体_GBK" w:asciiTheme="minorHAnsi" w:hAnsiTheme="minorHAnsi" w:cstheme="minorBidi"/>
          <w:color w:val="000000" w:themeColor="text1"/>
          <w:sz w:val="21"/>
          <w:szCs w:val="22"/>
          <w:lang w:val="en-US" w:eastAsia="zh-CN"/>
        </w:rPr>
      </w:pPr>
      <w:r>
        <w:fldChar w:fldCharType="begin"/>
      </w:r>
      <w:r>
        <w:instrText xml:space="preserve"> HYPERLINK \l "_Toc144134988" </w:instrText>
      </w:r>
      <w:r>
        <w:fldChar w:fldCharType="separate"/>
      </w:r>
      <w:r>
        <w:rPr>
          <w:rStyle w:val="24"/>
          <w:rFonts w:hint="eastAsia" w:ascii="方正黑体_GBK"/>
          <w:color w:val="000000" w:themeColor="text1"/>
        </w:rPr>
        <w:t>第</w:t>
      </w:r>
      <w:r>
        <w:rPr>
          <w:rStyle w:val="24"/>
          <w:rFonts w:hint="eastAsia" w:ascii="方正黑体_GBK"/>
          <w:color w:val="000000" w:themeColor="text1"/>
          <w:kern w:val="44"/>
        </w:rPr>
        <w:t>五部分附表</w:t>
      </w:r>
      <w:r>
        <w:rPr>
          <w:color w:val="000000" w:themeColor="text1"/>
        </w:rPr>
        <w:tab/>
      </w:r>
      <w:r>
        <w:rPr>
          <w:rFonts w:hint="eastAsia"/>
          <w:color w:val="000000" w:themeColor="text1"/>
          <w:lang w:val="en-US" w:eastAsia="zh-CN"/>
        </w:rPr>
        <w:t>3</w:t>
      </w:r>
      <w:r>
        <w:rPr>
          <w:color w:val="000000" w:themeColor="text1"/>
        </w:rPr>
        <w:fldChar w:fldCharType="end"/>
      </w:r>
      <w:r>
        <w:rPr>
          <w:rFonts w:hint="eastAsia"/>
          <w:color w:val="000000" w:themeColor="text1"/>
          <w:lang w:val="en-US" w:eastAsia="zh-CN"/>
        </w:rPr>
        <w:t>7</w:t>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"_Toc144134989" </w:instrText>
      </w:r>
      <w:r>
        <w:fldChar w:fldCharType="separate"/>
      </w:r>
      <w:r>
        <w:rPr>
          <w:rStyle w:val="24"/>
          <w:rFonts w:hint="eastAsia" w:eastAsia="方正仿宋_GBK"/>
          <w:color w:val="000000" w:themeColor="text1"/>
        </w:rPr>
        <w:t>一、收入支出决算总表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"_Toc144134990" </w:instrText>
      </w:r>
      <w:r>
        <w:fldChar w:fldCharType="separate"/>
      </w:r>
      <w:r>
        <w:rPr>
          <w:rStyle w:val="24"/>
          <w:rFonts w:hint="eastAsia" w:eastAsia="方正仿宋_GBK"/>
          <w:color w:val="000000" w:themeColor="text1"/>
        </w:rPr>
        <w:t>二、收入决算表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"_Toc144134991" </w:instrText>
      </w:r>
      <w:r>
        <w:fldChar w:fldCharType="separate"/>
      </w:r>
      <w:r>
        <w:rPr>
          <w:rStyle w:val="24"/>
          <w:rFonts w:hint="eastAsia" w:eastAsia="方正仿宋_GBK"/>
          <w:color w:val="000000" w:themeColor="text1"/>
        </w:rPr>
        <w:t>三、支出决算表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"_Toc144134992" </w:instrText>
      </w:r>
      <w:r>
        <w:fldChar w:fldCharType="separate"/>
      </w:r>
      <w:r>
        <w:rPr>
          <w:rStyle w:val="24"/>
          <w:rFonts w:hint="eastAsia" w:eastAsia="方正仿宋_GBK"/>
          <w:color w:val="000000" w:themeColor="text1"/>
        </w:rPr>
        <w:t>四、财政拨款收入支出决算总表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"_Toc144134993" </w:instrText>
      </w:r>
      <w:r>
        <w:fldChar w:fldCharType="separate"/>
      </w:r>
      <w:r>
        <w:rPr>
          <w:rStyle w:val="24"/>
          <w:rFonts w:hint="eastAsia" w:eastAsia="方正仿宋_GBK"/>
          <w:color w:val="000000" w:themeColor="text1"/>
        </w:rPr>
        <w:t>五、财政拨款支出决算明细表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"_Toc144134994" </w:instrText>
      </w:r>
      <w:r>
        <w:fldChar w:fldCharType="separate"/>
      </w:r>
      <w:r>
        <w:rPr>
          <w:rStyle w:val="24"/>
          <w:rFonts w:hint="eastAsia" w:eastAsia="方正仿宋_GBK"/>
          <w:color w:val="000000" w:themeColor="text1"/>
        </w:rPr>
        <w:t>六、一般公共预算财政拨款支出决算表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"_Toc144134995" </w:instrText>
      </w:r>
      <w:r>
        <w:fldChar w:fldCharType="separate"/>
      </w:r>
      <w:r>
        <w:rPr>
          <w:rStyle w:val="24"/>
          <w:rFonts w:hint="eastAsia" w:eastAsia="方正仿宋_GBK"/>
          <w:color w:val="000000" w:themeColor="text1"/>
        </w:rPr>
        <w:t>七、一般公共预算财政拨款支出决算明细表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"_Toc144134996" </w:instrText>
      </w:r>
      <w:r>
        <w:fldChar w:fldCharType="separate"/>
      </w:r>
      <w:r>
        <w:rPr>
          <w:rStyle w:val="24"/>
          <w:rFonts w:hint="eastAsia" w:eastAsia="方正仿宋_GBK"/>
          <w:color w:val="000000" w:themeColor="text1"/>
        </w:rPr>
        <w:t>八、一般公共预算财政拨款基本支出决算表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"_Toc144134997" </w:instrText>
      </w:r>
      <w:r>
        <w:fldChar w:fldCharType="separate"/>
      </w:r>
      <w:r>
        <w:rPr>
          <w:rStyle w:val="24"/>
          <w:rFonts w:hint="eastAsia" w:eastAsia="方正仿宋_GBK"/>
          <w:color w:val="000000" w:themeColor="text1"/>
        </w:rPr>
        <w:t>九、一般公共预算财政拨款项目支出决算表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"_Toc144134998" </w:instrText>
      </w:r>
      <w:r>
        <w:fldChar w:fldCharType="separate"/>
      </w:r>
      <w:r>
        <w:rPr>
          <w:rStyle w:val="24"/>
          <w:rFonts w:hint="eastAsia" w:eastAsia="方正仿宋_GBK"/>
          <w:color w:val="000000" w:themeColor="text1"/>
        </w:rPr>
        <w:t>十、政府性基金预算财政拨款收入支出决算表</w:t>
      </w:r>
      <w:r>
        <w:rPr>
          <w:rStyle w:val="24"/>
          <w:rFonts w:hint="eastAsia" w:eastAsia="方正仿宋_GBK"/>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"_Toc144134999" </w:instrText>
      </w:r>
      <w:r>
        <w:fldChar w:fldCharType="separate"/>
      </w:r>
      <w:r>
        <w:rPr>
          <w:rStyle w:val="24"/>
          <w:rFonts w:hint="eastAsia" w:eastAsia="方正仿宋_GBK"/>
          <w:color w:val="000000" w:themeColor="text1"/>
        </w:rPr>
        <w:t>十一、</w:t>
      </w:r>
      <w:r>
        <w:rPr>
          <w:rStyle w:val="24"/>
          <w:rFonts w:hint="eastAsia" w:ascii="仿宋" w:hAnsi="仿宋" w:eastAsia="仿宋"/>
          <w:color w:val="000000" w:themeColor="text1"/>
        </w:rPr>
        <w:t>国</w:t>
      </w:r>
      <w:r>
        <w:rPr>
          <w:rStyle w:val="24"/>
          <w:rFonts w:hint="eastAsia" w:ascii="仿宋" w:hAnsi="仿宋" w:eastAsia="仿宋" w:cs="Cambria"/>
          <w:bCs/>
          <w:color w:val="000000" w:themeColor="text1"/>
        </w:rPr>
        <w:t>有资本经营预算财政拨款收入支出决算表</w:t>
      </w:r>
      <w:r>
        <w:rPr>
          <w:rStyle w:val="24"/>
          <w:rFonts w:hint="eastAsia" w:ascii="仿宋" w:hAnsi="仿宋" w:eastAsia="仿宋" w:cs="Cambria"/>
          <w:bCs/>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"_Toc144135000" </w:instrText>
      </w:r>
      <w:r>
        <w:fldChar w:fldCharType="separate"/>
      </w:r>
      <w:r>
        <w:rPr>
          <w:rStyle w:val="24"/>
          <w:rFonts w:hint="eastAsia" w:eastAsia="方正仿宋_GBK"/>
          <w:color w:val="000000" w:themeColor="text1"/>
        </w:rPr>
        <w:t>十二、</w:t>
      </w:r>
      <w:r>
        <w:rPr>
          <w:rStyle w:val="24"/>
          <w:rFonts w:hint="eastAsia" w:ascii="仿宋" w:hAnsi="仿宋" w:eastAsia="仿宋" w:cs="Cambria"/>
          <w:bCs/>
          <w:color w:val="000000" w:themeColor="text1"/>
        </w:rPr>
        <w:t>国有资本经营预算财政拨款支出决算表</w:t>
      </w:r>
      <w:r>
        <w:rPr>
          <w:rStyle w:val="24"/>
          <w:rFonts w:hint="eastAsia" w:ascii="仿宋" w:hAnsi="仿宋" w:eastAsia="仿宋" w:cs="Cambria"/>
          <w:bCs/>
          <w:color w:val="000000" w:themeColor="text1"/>
        </w:rPr>
        <w:fldChar w:fldCharType="end"/>
      </w:r>
    </w:p>
    <w:p>
      <w:pPr>
        <w:pStyle w:val="16"/>
        <w:ind w:left="632"/>
        <w:rPr>
          <w:rFonts w:asciiTheme="minorHAnsi" w:hAnsiTheme="minorHAnsi" w:eastAsiaTheme="minorEastAsia" w:cstheme="minorBidi"/>
          <w:color w:val="000000" w:themeColor="text1"/>
          <w:szCs w:val="22"/>
        </w:rPr>
      </w:pPr>
      <w:r>
        <w:fldChar w:fldCharType="begin"/>
      </w:r>
      <w:r>
        <w:instrText xml:space="preserve"> HYPERLINK \l "_Toc144135001" </w:instrText>
      </w:r>
      <w:r>
        <w:fldChar w:fldCharType="separate"/>
      </w:r>
      <w:r>
        <w:rPr>
          <w:rStyle w:val="24"/>
          <w:rFonts w:hint="eastAsia" w:eastAsia="方正仿宋_GBK"/>
          <w:color w:val="000000" w:themeColor="text1"/>
        </w:rPr>
        <w:t>十三、</w:t>
      </w:r>
      <w:r>
        <w:rPr>
          <w:rStyle w:val="24"/>
          <w:rFonts w:hint="eastAsia" w:ascii="仿宋" w:hAnsi="仿宋" w:eastAsia="仿宋" w:cs="Cambria"/>
          <w:bCs/>
          <w:color w:val="000000" w:themeColor="text1"/>
        </w:rPr>
        <w:t>财政拨款“三公”经费支出决算表</w:t>
      </w:r>
      <w:r>
        <w:rPr>
          <w:rStyle w:val="24"/>
          <w:rFonts w:hint="eastAsia" w:ascii="仿宋" w:hAnsi="仿宋" w:eastAsia="仿宋" w:cs="Cambria"/>
          <w:bCs/>
          <w:color w:val="000000" w:themeColor="text1"/>
        </w:rPr>
        <w:fldChar w:fldCharType="end"/>
      </w:r>
    </w:p>
    <w:p>
      <w:pPr>
        <w:pStyle w:val="14"/>
        <w:rPr>
          <w:rFonts w:asciiTheme="minorHAnsi" w:hAnsiTheme="minorHAnsi" w:eastAsiaTheme="minorEastAsia" w:cstheme="minorBidi"/>
          <w:sz w:val="21"/>
          <w:szCs w:val="22"/>
        </w:rPr>
      </w:pPr>
      <w:r>
        <w:rPr>
          <w:color w:val="000000" w:themeColor="text1"/>
          <w:sz w:val="28"/>
          <w:szCs w:val="28"/>
        </w:rPr>
        <w:fldChar w:fldCharType="end"/>
      </w:r>
      <w:bookmarkStart w:id="14" w:name="_Toc15377196"/>
    </w:p>
    <w:p>
      <w:pPr>
        <w:pStyle w:val="2"/>
        <w:keepNext w:val="0"/>
        <w:keepLines w:val="0"/>
        <w:topLinePunct/>
        <w:spacing w:before="0" w:after="0" w:line="240" w:lineRule="auto"/>
        <w:jc w:val="center"/>
        <w:rPr>
          <w:rStyle w:val="26"/>
          <w:rFonts w:ascii="方正黑体_GBK" w:eastAsia="方正黑体_GBK"/>
          <w:b w:val="0"/>
          <w:bCs w:val="0"/>
          <w:sz w:val="32"/>
          <w:szCs w:val="32"/>
        </w:rPr>
      </w:pPr>
      <w:r>
        <w:rPr>
          <w:rFonts w:eastAsia="黑体"/>
        </w:rPr>
        <w:br w:type="page"/>
      </w:r>
      <w:bookmarkStart w:id="15" w:name="_Toc144134971"/>
      <w:r>
        <w:rPr>
          <w:rFonts w:hint="eastAsia" w:ascii="方正黑体_GBK" w:eastAsia="方正黑体_GBK"/>
          <w:b w:val="0"/>
          <w:bCs w:val="0"/>
          <w:sz w:val="32"/>
          <w:szCs w:val="32"/>
        </w:rPr>
        <w:t xml:space="preserve">第一部分 </w:t>
      </w:r>
      <w:r>
        <w:rPr>
          <w:rFonts w:hint="eastAsia" w:ascii="方正黑体_GBK" w:eastAsia="方正黑体_GBK"/>
          <w:bCs w:val="0"/>
          <w:sz w:val="32"/>
          <w:szCs w:val="32"/>
        </w:rPr>
        <w:t>单位概况</w:t>
      </w:r>
      <w:bookmarkEnd w:id="14"/>
      <w:bookmarkEnd w:id="15"/>
    </w:p>
    <w:p>
      <w:pPr>
        <w:pStyle w:val="3"/>
        <w:keepNext w:val="0"/>
        <w:keepLines w:val="0"/>
        <w:topLinePunct/>
        <w:spacing w:before="0" w:after="0" w:line="240" w:lineRule="auto"/>
        <w:ind w:firstLine="632" w:firstLineChars="200"/>
        <w:rPr>
          <w:rFonts w:ascii="Times New Roman" w:hAnsi="Times New Roman" w:eastAsia="方正黑体_GBK" w:cs="Times New Roman"/>
          <w:b w:val="0"/>
          <w:bCs w:val="0"/>
          <w:color w:val="000000"/>
          <w:highlight w:val="yellow"/>
        </w:rPr>
      </w:pPr>
      <w:bookmarkStart w:id="16" w:name="_Toc80956153"/>
      <w:bookmarkStart w:id="17" w:name="_Toc15377197"/>
      <w:bookmarkStart w:id="18" w:name="_Toc15378446"/>
      <w:bookmarkStart w:id="19" w:name="_Toc15377199"/>
    </w:p>
    <w:p>
      <w:pPr>
        <w:pStyle w:val="3"/>
        <w:keepNext w:val="0"/>
        <w:keepLines w:val="0"/>
        <w:topLinePunct/>
        <w:spacing w:before="0" w:after="0" w:line="240" w:lineRule="auto"/>
        <w:ind w:firstLine="632" w:firstLineChars="200"/>
        <w:rPr>
          <w:rStyle w:val="28"/>
          <w:rFonts w:ascii="Times New Roman" w:hAnsi="Times New Roman" w:eastAsia="方正黑体_GBK" w:cs="Times New Roman"/>
          <w:b w:val="0"/>
          <w:bCs w:val="0"/>
        </w:rPr>
      </w:pPr>
      <w:bookmarkStart w:id="20" w:name="_Toc144134972"/>
      <w:r>
        <w:rPr>
          <w:rFonts w:ascii="Times New Roman" w:hAnsi="Times New Roman" w:eastAsia="方正黑体_GBK" w:cs="Times New Roman"/>
          <w:b w:val="0"/>
          <w:bCs w:val="0"/>
          <w:color w:val="000000"/>
        </w:rPr>
        <w:t>一、基</w:t>
      </w:r>
      <w:r>
        <w:rPr>
          <w:rStyle w:val="28"/>
          <w:rFonts w:ascii="Times New Roman" w:hAnsi="Times New Roman" w:eastAsia="方正黑体_GBK" w:cs="Times New Roman"/>
          <w:b w:val="0"/>
          <w:bCs w:val="0"/>
        </w:rPr>
        <w:t>本职能及主要工作</w:t>
      </w:r>
      <w:bookmarkEnd w:id="16"/>
      <w:bookmarkEnd w:id="17"/>
      <w:bookmarkEnd w:id="20"/>
    </w:p>
    <w:p>
      <w:pPr>
        <w:pStyle w:val="7"/>
        <w:topLinePunct/>
        <w:adjustRightInd w:val="0"/>
        <w:spacing w:after="0"/>
        <w:ind w:firstLine="664" w:firstLineChars="210"/>
        <w:outlineLvl w:val="2"/>
        <w:rPr>
          <w:rFonts w:eastAsia="方正仿宋_GBK"/>
          <w:color w:val="000000"/>
        </w:rPr>
      </w:pPr>
      <w:bookmarkStart w:id="21" w:name="_Toc15378445"/>
      <w:bookmarkStart w:id="22" w:name="_Toc15377198"/>
      <w:r>
        <w:rPr>
          <w:rFonts w:eastAsia="方正仿宋_GBK"/>
          <w:color w:val="000000"/>
        </w:rPr>
        <w:t>（一）主要职能。</w:t>
      </w:r>
      <w:bookmarkEnd w:id="21"/>
      <w:bookmarkEnd w:id="22"/>
    </w:p>
    <w:p>
      <w:pPr>
        <w:keepNext w:val="0"/>
        <w:keepLines w:val="0"/>
        <w:pageBreakBefore w:val="0"/>
        <w:widowControl w:val="0"/>
        <w:tabs>
          <w:tab w:val="left" w:pos="2340"/>
        </w:tabs>
        <w:kinsoku/>
        <w:wordWrap/>
        <w:overflowPunct/>
        <w:topLinePunct w:val="0"/>
        <w:autoSpaceDE/>
        <w:autoSpaceDN/>
        <w:bidi w:val="0"/>
        <w:adjustRightInd/>
        <w:snapToGrid/>
        <w:spacing w:beforeLines="50" w:afterLines="50" w:line="240" w:lineRule="auto"/>
        <w:ind w:firstLine="552" w:firstLineChars="200"/>
        <w:textAlignment w:val="auto"/>
        <w:rPr>
          <w:rFonts w:hint="eastAsia" w:ascii="Times New Roman" w:hAnsi="Times New Roman" w:eastAsia="方正仿宋_GBK" w:cs="Times New Roman"/>
          <w:color w:val="000000"/>
          <w:kern w:val="2"/>
          <w:sz w:val="28"/>
          <w:szCs w:val="28"/>
          <w:lang w:val="en-US" w:eastAsia="zh-CN" w:bidi="ar-SA"/>
        </w:rPr>
      </w:pPr>
      <w:r>
        <w:rPr>
          <w:rFonts w:hint="eastAsia" w:ascii="Times New Roman" w:hAnsi="Times New Roman" w:eastAsia="方正仿宋_GBK" w:cs="Times New Roman"/>
          <w:color w:val="000000"/>
          <w:kern w:val="2"/>
          <w:sz w:val="28"/>
          <w:szCs w:val="28"/>
          <w:lang w:val="en-US" w:eastAsia="zh-CN" w:bidi="ar-SA"/>
        </w:rPr>
        <w:t>我院创办于1937年，其前身是“序宾儿科诊所”，解放后公私合营改名为“西城区儿童医院”，1985年，改名“成都儿童医院”，1991年更名为“成都儿童专科医院”。我院是政府举办的非营利性公立医院，集医疗、科研、教学、预防保健为一体，是西南地区历史最悠久的一所二级甲等儿童专科医院，医院现有青羊、成华两个院区。医院拥有小儿呼吸内科、消化内科、神经内科、血液肾病、中医、小儿外科、口腔科、皮肤科等多学科的专家队伍。多名专家担任国家、省市级医学会、各专委会委员及成都市儿科质控中心专家成员。医院现有编制床位210张，年门诊量30-40万人次，年收治住院病人，6000余人次，年业务收入1.2亿。设有小儿呼吸内科、消化内科、神经内科、血液肾病、小儿外科、儿童预防保健、中医科、口腔科、眼-耳鼻喉科、皮肤科等22个临床专科和亚专业，是成都市青羊区儿科质量控制中心。长期以来，医院重视医疗技术的提高和学科发展建设，开展了小儿外科微创腔镜治疗、小儿无痛电子胃镜检查、肺功能检查、一氧化氮检测、13-碳呼吸实验检测幽门螺杆菌感染、脑电地形图、鼻腔负压置换、鼻耳内镜检查、耳针等40余项专业技术。我院历史悠久的经方验方院内制剂蓝板感冒冲剂、退热颗粒、麻杏咳喘颗粒、山楂消食颗粒、玄黄清咽糖浆、地霜等十余种院内制剂已有数十年历史。由于今年制剂室的改扩建，制剂药物目前暂时停产。在学科建设方面，今年开展新技术14项（儿童肺康复训练、全麻下儿童口腔舒适化治疗、肺部超声临床应用等）。在临床应用方面，两院区发热门诊克服重重困难完成改造并正常开诊，为保证疫情工作我院省级科研项目《EV/EV71/CA16-SAT检测在儿童手足口病中的应用价值》已经结题并获得国内领先的鉴定结论。信息化建设方面，互联网医院正式建成并投入使用（已完成线上诊疗两千余人次），医院信息化建设完善，支付宝、微信及天府市民云等平台预约挂号、缴费、查看报告支持社保结算，互联网平台能与患者进行沟通、解答疑问并做健康知识宣传等。我院作为政府举办的公立医院，充分体现医院的公益性，积极承担各种社会责任，全体儿专人本着“立足青羊，服务全市”的运营理念，将继续秉承“医者德为先”的核心价值观和“德高、业精、公益、安全”的医院服务宗旨，以精湛的医术和高度的责任感承载生命的重托而努力奋斗！</w:t>
      </w:r>
    </w:p>
    <w:p>
      <w:pPr>
        <w:pStyle w:val="7"/>
        <w:topLinePunct/>
        <w:adjustRightInd w:val="0"/>
        <w:spacing w:after="0"/>
        <w:ind w:firstLine="664" w:firstLineChars="210"/>
        <w:outlineLvl w:val="2"/>
        <w:rPr>
          <w:rFonts w:eastAsia="方正仿宋_GBK"/>
          <w:color w:val="000000"/>
        </w:rPr>
      </w:pPr>
      <w:r>
        <w:rPr>
          <w:rFonts w:eastAsia="方正仿宋_GBK"/>
          <w:color w:val="000000"/>
        </w:rPr>
        <w:t>（二）2022年重点工作完成情况。</w:t>
      </w:r>
    </w:p>
    <w:p>
      <w:pPr>
        <w:pStyle w:val="7"/>
        <w:topLinePunct/>
        <w:adjustRightInd w:val="0"/>
        <w:spacing w:after="0"/>
        <w:ind w:firstLine="580" w:firstLineChars="210"/>
        <w:rPr>
          <w:rFonts w:hint="eastAsia" w:ascii="Times New Roman" w:hAnsi="Times New Roman" w:eastAsia="方正仿宋_GBK" w:cs="Times New Roman"/>
          <w:color w:val="000000"/>
          <w:kern w:val="2"/>
          <w:sz w:val="28"/>
          <w:szCs w:val="28"/>
          <w:lang w:val="en-US" w:eastAsia="zh-CN" w:bidi="ar-SA"/>
        </w:rPr>
      </w:pPr>
      <w:r>
        <w:rPr>
          <w:rFonts w:hint="eastAsia" w:ascii="Times New Roman" w:hAnsi="Times New Roman" w:eastAsia="方正仿宋_GBK" w:cs="Times New Roman"/>
          <w:color w:val="000000"/>
          <w:kern w:val="2"/>
          <w:sz w:val="28"/>
          <w:szCs w:val="28"/>
          <w:lang w:val="en-US" w:eastAsia="zh-CN" w:bidi="ar-SA"/>
        </w:rPr>
        <w:t>疫情常态化防控及核酸检测工作贯穿全年，全院上下进行了艰苦的抗疫工作，并出色完成包括核酸采样、核酸检测、追阳、流调、隔离酒店支援、疫苗保障等相关工作；两院区发热门诊克服重重困难完成改造并正常开诊；互联网医院正式建成并投入使用（已完成线上诊疗两千余人次）；院内开展新技术14项（包括儿童肺康复训练、全麻下儿童口腔舒适化治疗、肺部超声临床应用等）；获得国内领先科研成果评价1项；申报省卫生厅科研项目一项；成功申报成都市县级临床重点专科（儿科）一项；成功申报并举办省级继教项目三项。通过线上直播开展各种健康宣传及口碑打造，全年开展线上直播7次，听众5000余人次；拍摄并发布短视频19条，浏览4万余人次，与青羊融媒体合作拍摄6次；运用微信公众号平台持续做好医院的品牌宣传，全年发布各类推文65篇，阅读153511人次。健康四川官微医院品牌影响力跻身四川省前二十名，其中7月达到全省第三名的成绩。城北分院获得成都市疫情常态化防控先进集体，我院党委、第一党支部均获得青羊区近期疫情防控担当作为先进集体；护理部获得青羊区护理不良事件案例分析比赛一等奖，成都市护理不良事件案例分析比赛优秀奖，青羊区健康科普比赛三等奖；四川省2021-2022年度流感监测哨点医院优秀单位。全年收到社区锦旗2面及感谢信三封。</w:t>
      </w:r>
    </w:p>
    <w:p>
      <w:pPr>
        <w:pStyle w:val="3"/>
        <w:keepNext w:val="0"/>
        <w:keepLines w:val="0"/>
        <w:topLinePunct/>
        <w:spacing w:before="0" w:after="0" w:line="240" w:lineRule="auto"/>
        <w:ind w:firstLine="632" w:firstLineChars="200"/>
        <w:rPr>
          <w:rFonts w:ascii="Times New Roman" w:hAnsi="Times New Roman" w:eastAsia="方正黑体_GBK" w:cs="Times New Roman"/>
          <w:b w:val="0"/>
          <w:bCs w:val="0"/>
          <w:color w:val="000000"/>
        </w:rPr>
      </w:pPr>
      <w:bookmarkStart w:id="23" w:name="_Toc15377200"/>
      <w:bookmarkStart w:id="24" w:name="_Toc144134973"/>
      <w:bookmarkStart w:id="25" w:name="_Toc80956154"/>
      <w:r>
        <w:rPr>
          <w:rFonts w:ascii="Times New Roman" w:hAnsi="Times New Roman" w:eastAsia="方正黑体_GBK" w:cs="Times New Roman"/>
          <w:b w:val="0"/>
          <w:bCs w:val="0"/>
          <w:color w:val="000000"/>
        </w:rPr>
        <w:t>二、机构设置</w:t>
      </w:r>
      <w:bookmarkEnd w:id="23"/>
      <w:bookmarkEnd w:id="24"/>
      <w:bookmarkEnd w:id="25"/>
    </w:p>
    <w:p>
      <w:pPr>
        <w:pStyle w:val="7"/>
        <w:topLinePunct/>
        <w:adjustRightInd w:val="0"/>
        <w:spacing w:after="0"/>
        <w:ind w:firstLine="580" w:firstLineChars="210"/>
        <w:rPr>
          <w:rFonts w:hint="eastAsia" w:ascii="Times New Roman" w:hAnsi="Times New Roman" w:eastAsia="方正仿宋_GBK" w:cs="Times New Roman"/>
          <w:color w:val="000000"/>
          <w:kern w:val="2"/>
          <w:sz w:val="28"/>
          <w:szCs w:val="28"/>
          <w:lang w:val="en-US" w:eastAsia="zh-CN" w:bidi="ar-SA"/>
        </w:rPr>
      </w:pPr>
      <w:r>
        <w:rPr>
          <w:rFonts w:hint="eastAsia" w:ascii="Times New Roman" w:hAnsi="Times New Roman" w:eastAsia="方正仿宋_GBK" w:cs="Times New Roman"/>
          <w:color w:val="000000"/>
          <w:kern w:val="2"/>
          <w:sz w:val="28"/>
          <w:szCs w:val="28"/>
          <w:lang w:val="en-US" w:eastAsia="zh-CN" w:bidi="ar-SA"/>
        </w:rPr>
        <w:t>成都儿童专科医院由22个临床专科和亚专业组成，分别是小儿呼吸内科、消化内科、神经内科、血液肾病、小儿外科、儿童预防保健、中医科、口腔科、眼-耳鼻喉科、皮肤科等。</w:t>
      </w:r>
    </w:p>
    <w:p>
      <w:pPr>
        <w:pStyle w:val="7"/>
        <w:topLinePunct/>
        <w:adjustRightInd w:val="0"/>
        <w:spacing w:after="0"/>
        <w:ind w:firstLine="664" w:firstLineChars="210"/>
        <w:outlineLvl w:val="1"/>
        <w:rPr>
          <w:rFonts w:eastAsia="方正黑体_GBK"/>
          <w:color w:val="000000"/>
        </w:rPr>
      </w:pPr>
    </w:p>
    <w:bookmarkEnd w:id="18"/>
    <w:bookmarkEnd w:id="19"/>
    <w:p>
      <w:pPr>
        <w:pStyle w:val="2"/>
        <w:keepNext w:val="0"/>
        <w:keepLines w:val="0"/>
        <w:topLinePunct/>
        <w:spacing w:before="0" w:after="0" w:line="240" w:lineRule="auto"/>
        <w:jc w:val="center"/>
        <w:rPr>
          <w:rFonts w:eastAsia="方正黑体_GBK"/>
          <w:b w:val="0"/>
          <w:bCs w:val="0"/>
          <w:sz w:val="32"/>
          <w:szCs w:val="32"/>
        </w:rPr>
      </w:pPr>
      <w:bookmarkStart w:id="26" w:name="_Toc15377204"/>
      <w:r>
        <w:rPr>
          <w:rFonts w:eastAsia="方正黑体_GBK"/>
          <w:b w:val="0"/>
          <w:bCs w:val="0"/>
          <w:sz w:val="32"/>
          <w:szCs w:val="32"/>
        </w:rPr>
        <w:br w:type="page"/>
      </w:r>
      <w:bookmarkStart w:id="27" w:name="_Toc144134974"/>
      <w:r>
        <w:rPr>
          <w:rFonts w:eastAsia="方正黑体_GBK"/>
          <w:b w:val="0"/>
          <w:bCs w:val="0"/>
          <w:sz w:val="32"/>
          <w:szCs w:val="32"/>
        </w:rPr>
        <w:t>第二部分2022年度</w:t>
      </w:r>
      <w:r>
        <w:rPr>
          <w:rFonts w:hint="eastAsia" w:eastAsia="方正黑体_GBK"/>
          <w:b w:val="0"/>
          <w:bCs w:val="0"/>
          <w:sz w:val="32"/>
          <w:szCs w:val="32"/>
        </w:rPr>
        <w:t>单位</w:t>
      </w:r>
      <w:r>
        <w:rPr>
          <w:rFonts w:eastAsia="方正黑体_GBK"/>
          <w:b w:val="0"/>
          <w:bCs w:val="0"/>
          <w:sz w:val="32"/>
          <w:szCs w:val="32"/>
        </w:rPr>
        <w:t>决算情况说明</w:t>
      </w:r>
      <w:bookmarkEnd w:id="26"/>
      <w:bookmarkEnd w:id="27"/>
    </w:p>
    <w:p>
      <w:pPr>
        <w:topLinePunct/>
        <w:rPr>
          <w:rFonts w:eastAsia="方正仿宋_GBK"/>
        </w:rPr>
      </w:pPr>
    </w:p>
    <w:p>
      <w:pPr>
        <w:pStyle w:val="3"/>
        <w:keepNext w:val="0"/>
        <w:keepLines w:val="0"/>
        <w:topLinePunct/>
        <w:spacing w:before="0" w:after="0" w:line="540" w:lineRule="exact"/>
        <w:ind w:firstLine="632" w:firstLineChars="200"/>
        <w:rPr>
          <w:rFonts w:ascii="Times New Roman" w:hAnsi="Times New Roman" w:eastAsia="方正黑体_GBK" w:cs="Times New Roman"/>
          <w:b w:val="0"/>
          <w:color w:val="000000"/>
        </w:rPr>
      </w:pPr>
      <w:bookmarkStart w:id="28" w:name="_Toc144134975"/>
      <w:bookmarkStart w:id="29" w:name="_Toc15377205"/>
      <w:r>
        <w:rPr>
          <w:rFonts w:ascii="Times New Roman" w:hAnsi="Times New Roman" w:eastAsia="方正黑体_GBK" w:cs="Times New Roman"/>
          <w:b w:val="0"/>
          <w:bCs w:val="0"/>
          <w:color w:val="000000"/>
        </w:rPr>
        <w:t>一、收</w:t>
      </w:r>
      <w:r>
        <w:rPr>
          <w:rFonts w:ascii="Times New Roman" w:hAnsi="Times New Roman" w:eastAsia="方正黑体_GBK" w:cs="Times New Roman"/>
          <w:b w:val="0"/>
          <w:color w:val="000000"/>
        </w:rPr>
        <w:t>入支出决算总体情况说明</w:t>
      </w:r>
      <w:bookmarkEnd w:id="28"/>
      <w:bookmarkEnd w:id="29"/>
    </w:p>
    <w:p>
      <w:pPr>
        <w:topLinePunct/>
        <w:spacing w:line="540" w:lineRule="exact"/>
        <w:ind w:firstLine="632" w:firstLineChars="200"/>
        <w:rPr>
          <w:rFonts w:hint="eastAsia" w:ascii="宋体" w:hAnsi="宋体" w:cs="宋体"/>
          <w:sz w:val="28"/>
          <w:szCs w:val="28"/>
        </w:rPr>
      </w:pPr>
      <w:r>
        <w:rPr>
          <w:rFonts w:eastAsia="方正仿宋_GBK"/>
          <w:color w:val="000000"/>
        </w:rPr>
        <w:t>2022年度收、支总计均为</w:t>
      </w:r>
      <w:r>
        <w:rPr>
          <w:rFonts w:hint="eastAsia" w:eastAsia="方正仿宋_GBK"/>
          <w:color w:val="000000"/>
          <w:lang w:val="en-US" w:eastAsia="zh-CN"/>
        </w:rPr>
        <w:t>12987.9</w:t>
      </w:r>
      <w:r>
        <w:rPr>
          <w:rFonts w:eastAsia="方正仿宋_GBK"/>
          <w:color w:val="000000"/>
        </w:rPr>
        <w:t>万元。与2021年相比，收、支总计各减少</w:t>
      </w:r>
      <w:r>
        <w:rPr>
          <w:rFonts w:hint="eastAsia" w:eastAsia="方正仿宋_GBK"/>
          <w:color w:val="000000"/>
          <w:lang w:val="en-US" w:eastAsia="zh-CN"/>
        </w:rPr>
        <w:t>517.76</w:t>
      </w:r>
      <w:r>
        <w:rPr>
          <w:rFonts w:eastAsia="方正仿宋_GBK"/>
          <w:color w:val="000000"/>
        </w:rPr>
        <w:t>万元，下降</w:t>
      </w:r>
      <w:r>
        <w:rPr>
          <w:rFonts w:hint="eastAsia" w:eastAsia="方正仿宋_GBK"/>
          <w:color w:val="000000"/>
          <w:lang w:val="en-US" w:eastAsia="zh-CN"/>
        </w:rPr>
        <w:t>3.8</w:t>
      </w:r>
      <w:r>
        <w:rPr>
          <w:rFonts w:eastAsia="方正仿宋_GBK"/>
          <w:color w:val="000000"/>
        </w:rPr>
        <w:t>%。主要变动原因是</w:t>
      </w:r>
      <w:r>
        <w:rPr>
          <w:rFonts w:hint="eastAsia" w:eastAsia="方正仿宋_GBK"/>
          <w:color w:val="000000"/>
        </w:rPr>
        <w:t>受疫情影响</w:t>
      </w:r>
      <w:r>
        <w:rPr>
          <w:rFonts w:hint="eastAsia" w:eastAsia="方正仿宋_GBK"/>
          <w:color w:val="000000"/>
          <w:lang w:eastAsia="zh-CN"/>
        </w:rPr>
        <w:t>，</w:t>
      </w:r>
      <w:r>
        <w:rPr>
          <w:rFonts w:hint="eastAsia" w:eastAsia="方正仿宋_GBK"/>
          <w:color w:val="000000"/>
        </w:rPr>
        <w:t>医疗收入下降，</w:t>
      </w:r>
      <w:r>
        <w:rPr>
          <w:rFonts w:hint="eastAsia" w:eastAsia="方正仿宋_GBK"/>
          <w:color w:val="000000"/>
          <w:lang w:eastAsia="zh-CN"/>
        </w:rPr>
        <w:t>相应医疗支出减少。</w:t>
      </w:r>
    </w:p>
    <w:p>
      <w:pPr>
        <w:topLinePunct/>
        <w:spacing w:line="540" w:lineRule="exact"/>
        <w:ind w:firstLine="632" w:firstLineChars="200"/>
        <w:rPr>
          <w:rFonts w:eastAsia="方正仿宋_GBK"/>
          <w:color w:val="000000"/>
          <w:highlight w:val="none"/>
        </w:rPr>
      </w:pPr>
      <w:r>
        <w:rPr>
          <w:rFonts w:eastAsia="方正仿宋_GBK"/>
          <w:color w:val="000000"/>
          <w:highlight w:val="none"/>
        </w:rPr>
        <w:t>（图1：收、支决算总计变动情况图）（柱状图）</w:t>
      </w:r>
    </w:p>
    <w:p>
      <w:pPr>
        <w:topLinePunct/>
        <w:spacing w:line="540" w:lineRule="exact"/>
        <w:ind w:firstLine="632" w:firstLineChars="200"/>
        <w:rPr>
          <w:rFonts w:eastAsia="方正仿宋_GBK"/>
          <w:color w:val="000000"/>
          <w:highlight w:val="none"/>
        </w:rPr>
      </w:pPr>
    </w:p>
    <w:p>
      <w:pPr>
        <w:pStyle w:val="3"/>
        <w:keepNext w:val="0"/>
        <w:keepLines w:val="0"/>
        <w:topLinePunct/>
        <w:spacing w:before="0" w:after="0" w:line="540" w:lineRule="exact"/>
      </w:pPr>
      <w:bookmarkStart w:id="30" w:name="_Toc15377206"/>
    </w:p>
    <w:p>
      <w:pPr>
        <w:pStyle w:val="3"/>
        <w:keepNext w:val="0"/>
        <w:keepLines w:val="0"/>
        <w:topLinePunct/>
        <w:spacing w:before="0" w:after="0" w:line="540" w:lineRule="exact"/>
        <w:ind w:firstLine="632" w:firstLineChars="200"/>
      </w:pPr>
    </w:p>
    <w:p>
      <w:pPr>
        <w:pStyle w:val="3"/>
        <w:keepNext w:val="0"/>
        <w:keepLines w:val="0"/>
        <w:topLinePunct/>
        <w:spacing w:before="0" w:after="0" w:line="540" w:lineRule="exact"/>
        <w:ind w:firstLine="632" w:firstLineChars="200"/>
      </w:pPr>
    </w:p>
    <w:p>
      <w:pPr>
        <w:pStyle w:val="3"/>
        <w:keepNext w:val="0"/>
        <w:keepLines w:val="0"/>
        <w:topLinePunct/>
        <w:spacing w:before="0" w:after="0" w:line="540" w:lineRule="exact"/>
        <w:ind w:firstLine="632" w:firstLineChars="200"/>
      </w:pPr>
    </w:p>
    <w:p>
      <w:pPr>
        <w:pStyle w:val="3"/>
        <w:keepNext w:val="0"/>
        <w:keepLines w:val="0"/>
        <w:topLinePunct/>
        <w:spacing w:before="0" w:after="0" w:line="540" w:lineRule="exact"/>
        <w:ind w:firstLine="632" w:firstLineChars="200"/>
      </w:pPr>
    </w:p>
    <w:p>
      <w:pPr>
        <w:pStyle w:val="3"/>
        <w:keepNext w:val="0"/>
        <w:keepLines w:val="0"/>
        <w:topLinePunct/>
        <w:spacing w:before="0" w:after="0" w:line="540" w:lineRule="exact"/>
        <w:ind w:firstLine="632" w:firstLineChars="200"/>
      </w:pPr>
    </w:p>
    <w:p>
      <w:pPr>
        <w:pStyle w:val="3"/>
        <w:keepNext w:val="0"/>
        <w:keepLines w:val="0"/>
        <w:topLinePunct/>
        <w:spacing w:before="0" w:after="0" w:line="540" w:lineRule="exact"/>
        <w:ind w:firstLine="632" w:firstLineChars="200"/>
        <w:rPr>
          <w:rFonts w:ascii="Times New Roman" w:hAnsi="Times New Roman" w:eastAsia="方正黑体_GBK" w:cs="Times New Roman"/>
          <w:b w:val="0"/>
          <w:bCs w:val="0"/>
          <w:color w:val="000000"/>
        </w:rPr>
      </w:pPr>
      <w:r>
        <w:drawing>
          <wp:anchor distT="0" distB="0" distL="114300" distR="114300" simplePos="0" relativeHeight="251659264" behindDoc="1" locked="0" layoutInCell="1" allowOverlap="1">
            <wp:simplePos x="0" y="0"/>
            <wp:positionH relativeFrom="column">
              <wp:posOffset>406400</wp:posOffset>
            </wp:positionH>
            <wp:positionV relativeFrom="paragraph">
              <wp:posOffset>-1854835</wp:posOffset>
            </wp:positionV>
            <wp:extent cx="4037965" cy="2111375"/>
            <wp:effectExtent l="5080" t="4445" r="14605" b="17780"/>
            <wp:wrapTight wrapText="bothSides">
              <wp:wrapPolygon>
                <wp:start x="-27" y="-45"/>
                <wp:lineTo x="-27" y="21392"/>
                <wp:lineTo x="21474" y="21392"/>
                <wp:lineTo x="21474" y="-45"/>
                <wp:lineTo x="-27" y="-45"/>
              </wp:wrapPolygon>
            </wp:wrapTight>
            <wp:docPr id="136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bookmarkStart w:id="31" w:name="_Toc144134976"/>
    </w:p>
    <w:p>
      <w:pPr>
        <w:pStyle w:val="3"/>
        <w:keepNext w:val="0"/>
        <w:keepLines w:val="0"/>
        <w:topLinePunct/>
        <w:spacing w:before="0" w:after="0" w:line="540" w:lineRule="exact"/>
        <w:ind w:firstLine="632" w:firstLineChars="200"/>
        <w:rPr>
          <w:rFonts w:eastAsia="方正黑体_GBK"/>
          <w:b w:val="0"/>
          <w:color w:val="000000"/>
        </w:rPr>
      </w:pPr>
      <w:r>
        <w:rPr>
          <w:rFonts w:hint="eastAsia" w:ascii="Times New Roman" w:hAnsi="Times New Roman" w:eastAsia="方正黑体_GBK" w:cs="Times New Roman"/>
          <w:b w:val="0"/>
          <w:bCs w:val="0"/>
          <w:color w:val="000000"/>
        </w:rPr>
        <w:t>二、</w:t>
      </w:r>
      <w:r>
        <w:rPr>
          <w:rFonts w:ascii="Times New Roman" w:hAnsi="Times New Roman" w:eastAsia="方正黑体_GBK" w:cs="Times New Roman"/>
          <w:b w:val="0"/>
          <w:bCs w:val="0"/>
          <w:color w:val="000000"/>
        </w:rPr>
        <w:t>收</w:t>
      </w:r>
      <w:r>
        <w:rPr>
          <w:rFonts w:hint="eastAsia" w:eastAsia="方正黑体_GBK"/>
          <w:b w:val="0"/>
          <w:color w:val="000000"/>
        </w:rPr>
        <w:t>入决算情况说明</w:t>
      </w:r>
      <w:bookmarkEnd w:id="30"/>
      <w:bookmarkEnd w:id="31"/>
    </w:p>
    <w:p>
      <w:pPr>
        <w:topLinePunct/>
        <w:spacing w:line="540" w:lineRule="exact"/>
        <w:ind w:firstLine="632" w:firstLineChars="200"/>
        <w:rPr>
          <w:rFonts w:eastAsia="方正仿宋_GBK"/>
          <w:color w:val="000000"/>
        </w:rPr>
      </w:pPr>
      <w:r>
        <w:rPr>
          <w:rFonts w:eastAsia="方正仿宋_GBK"/>
          <w:color w:val="000000"/>
        </w:rPr>
        <w:t>2022年本年收入合计</w:t>
      </w:r>
      <w:r>
        <w:rPr>
          <w:rFonts w:hint="eastAsia" w:eastAsia="方正仿宋_GBK"/>
          <w:color w:val="000000"/>
          <w:lang w:val="en-US" w:eastAsia="zh-CN"/>
        </w:rPr>
        <w:t>11546.65</w:t>
      </w:r>
      <w:r>
        <w:rPr>
          <w:rFonts w:eastAsia="方正仿宋_GBK"/>
          <w:color w:val="000000"/>
        </w:rPr>
        <w:t>万元，其中：一般公共预算财政拨款收入</w:t>
      </w:r>
      <w:r>
        <w:rPr>
          <w:rFonts w:hint="eastAsia" w:eastAsia="方正仿宋_GBK"/>
          <w:color w:val="000000"/>
          <w:lang w:val="en-US" w:eastAsia="zh-CN"/>
        </w:rPr>
        <w:t>1743.44</w:t>
      </w:r>
      <w:r>
        <w:rPr>
          <w:rFonts w:eastAsia="方正仿宋_GBK"/>
          <w:color w:val="000000"/>
        </w:rPr>
        <w:t>万元，占</w:t>
      </w:r>
      <w:r>
        <w:rPr>
          <w:rFonts w:hint="eastAsia" w:eastAsia="方正仿宋_GBK"/>
          <w:color w:val="000000"/>
          <w:lang w:val="en-US" w:eastAsia="zh-CN"/>
        </w:rPr>
        <w:t>15.1</w:t>
      </w:r>
      <w:r>
        <w:rPr>
          <w:rFonts w:eastAsia="方正仿宋_GBK"/>
          <w:color w:val="000000"/>
        </w:rPr>
        <w:t>%；事业收入</w:t>
      </w:r>
      <w:r>
        <w:rPr>
          <w:rFonts w:hint="eastAsia" w:eastAsia="方正仿宋_GBK"/>
          <w:color w:val="000000"/>
          <w:lang w:val="en-US" w:eastAsia="zh-CN"/>
        </w:rPr>
        <w:t>9622.31</w:t>
      </w:r>
      <w:r>
        <w:rPr>
          <w:rFonts w:eastAsia="方正仿宋_GBK"/>
          <w:color w:val="000000"/>
        </w:rPr>
        <w:t>万元，占</w:t>
      </w:r>
      <w:r>
        <w:rPr>
          <w:rFonts w:hint="eastAsia" w:eastAsia="方正仿宋_GBK"/>
          <w:color w:val="000000"/>
          <w:lang w:val="en-US" w:eastAsia="zh-CN"/>
        </w:rPr>
        <w:t>83.3</w:t>
      </w:r>
      <w:r>
        <w:rPr>
          <w:rFonts w:eastAsia="方正仿宋_GBK"/>
          <w:color w:val="000000"/>
        </w:rPr>
        <w:t>%；其他收入</w:t>
      </w:r>
      <w:r>
        <w:rPr>
          <w:rFonts w:hint="eastAsia" w:eastAsia="方正仿宋_GBK"/>
          <w:color w:val="000000"/>
          <w:lang w:val="en-US" w:eastAsia="zh-CN"/>
        </w:rPr>
        <w:t>180.9</w:t>
      </w:r>
      <w:r>
        <w:rPr>
          <w:rFonts w:eastAsia="方正仿宋_GBK"/>
          <w:color w:val="000000"/>
        </w:rPr>
        <w:t>万元，占</w:t>
      </w:r>
      <w:r>
        <w:rPr>
          <w:rFonts w:hint="eastAsia" w:eastAsia="方正仿宋_GBK"/>
          <w:color w:val="000000"/>
          <w:lang w:val="en-US" w:eastAsia="zh-CN"/>
        </w:rPr>
        <w:t>1.6</w:t>
      </w:r>
      <w:r>
        <w:rPr>
          <w:rFonts w:eastAsia="方正仿宋_GBK"/>
          <w:color w:val="000000"/>
        </w:rPr>
        <w:t>%。</w:t>
      </w:r>
    </w:p>
    <w:p>
      <w:pPr>
        <w:topLinePunct/>
        <w:spacing w:line="540" w:lineRule="exact"/>
        <w:ind w:firstLine="632" w:firstLineChars="200"/>
        <w:rPr>
          <w:rFonts w:eastAsia="方正仿宋_GBK"/>
          <w:color w:val="000000"/>
        </w:rPr>
      </w:pPr>
      <w:r>
        <w:rPr>
          <w:rFonts w:eastAsia="方正仿宋_GBK"/>
          <w:color w:val="000000"/>
          <w:highlight w:val="none"/>
        </w:rPr>
        <w:t>（图2：收入决算结构图）（饼状图）</w:t>
      </w:r>
    </w:p>
    <w:p>
      <w:pPr>
        <w:pStyle w:val="3"/>
        <w:keepNext w:val="0"/>
        <w:keepLines w:val="0"/>
        <w:topLinePunct/>
        <w:spacing w:before="0" w:after="0" w:line="540" w:lineRule="exact"/>
      </w:pPr>
      <w:bookmarkStart w:id="32" w:name="_Toc144134977"/>
      <w:bookmarkStart w:id="33" w:name="_Toc15377207"/>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r>
        <w:drawing>
          <wp:anchor distT="0" distB="0" distL="114300" distR="114300" simplePos="0" relativeHeight="251662336" behindDoc="0" locked="0" layoutInCell="1" allowOverlap="1">
            <wp:simplePos x="0" y="0"/>
            <wp:positionH relativeFrom="column">
              <wp:posOffset>158115</wp:posOffset>
            </wp:positionH>
            <wp:positionV relativeFrom="paragraph">
              <wp:posOffset>148590</wp:posOffset>
            </wp:positionV>
            <wp:extent cx="5191125" cy="2489835"/>
            <wp:effectExtent l="4445" t="4445" r="5080" b="20320"/>
            <wp:wrapSquare wrapText="bothSides"/>
            <wp:docPr id="1380"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3"/>
        <w:keepNext w:val="0"/>
        <w:keepLines w:val="0"/>
        <w:topLinePunct/>
        <w:spacing w:before="0" w:after="0" w:line="540" w:lineRule="exact"/>
        <w:ind w:firstLine="632" w:firstLineChars="200"/>
        <w:rPr>
          <w:rFonts w:eastAsia="方正黑体_GBK"/>
          <w:b w:val="0"/>
          <w:color w:val="000000"/>
        </w:rPr>
      </w:pPr>
      <w:r>
        <w:rPr>
          <w:rFonts w:hint="eastAsia" w:ascii="Times New Roman" w:hAnsi="Times New Roman" w:eastAsia="方正黑体_GBK" w:cs="Times New Roman"/>
          <w:b w:val="0"/>
          <w:bCs w:val="0"/>
          <w:color w:val="000000"/>
        </w:rPr>
        <w:t>三、</w:t>
      </w:r>
      <w:r>
        <w:rPr>
          <w:rFonts w:ascii="Times New Roman" w:hAnsi="Times New Roman" w:eastAsia="方正黑体_GBK" w:cs="Times New Roman"/>
          <w:b w:val="0"/>
          <w:bCs w:val="0"/>
          <w:color w:val="000000"/>
        </w:rPr>
        <w:t>支</w:t>
      </w:r>
      <w:r>
        <w:rPr>
          <w:rFonts w:hint="eastAsia" w:eastAsia="方正黑体_GBK"/>
          <w:b w:val="0"/>
          <w:color w:val="000000"/>
        </w:rPr>
        <w:t>出决算情况说明</w:t>
      </w:r>
      <w:bookmarkEnd w:id="32"/>
      <w:bookmarkEnd w:id="33"/>
    </w:p>
    <w:p>
      <w:pPr>
        <w:topLinePunct/>
        <w:spacing w:line="540" w:lineRule="exact"/>
        <w:ind w:firstLine="640"/>
        <w:rPr>
          <w:rFonts w:hint="eastAsia" w:eastAsia="方正仿宋_GBK"/>
          <w:color w:val="000000"/>
          <w:lang w:eastAsia="zh-CN"/>
        </w:rPr>
      </w:pPr>
      <w:r>
        <w:rPr>
          <w:rFonts w:eastAsia="方正仿宋_GBK"/>
          <w:color w:val="000000"/>
        </w:rPr>
        <w:t>2022年本年支出合计</w:t>
      </w:r>
      <w:r>
        <w:rPr>
          <w:rFonts w:hint="eastAsia" w:eastAsia="方正仿宋_GBK"/>
          <w:color w:val="000000"/>
          <w:lang w:val="en-US" w:eastAsia="zh-CN"/>
        </w:rPr>
        <w:t>12987.9</w:t>
      </w:r>
      <w:r>
        <w:rPr>
          <w:rFonts w:eastAsia="方正仿宋_GBK"/>
          <w:color w:val="000000"/>
        </w:rPr>
        <w:t>万元，其中：基本支出</w:t>
      </w:r>
      <w:r>
        <w:rPr>
          <w:rFonts w:hint="eastAsia" w:eastAsia="方正仿宋_GBK"/>
          <w:color w:val="000000"/>
          <w:lang w:val="en-US" w:eastAsia="zh-CN"/>
        </w:rPr>
        <w:t>11978.72</w:t>
      </w:r>
      <w:r>
        <w:rPr>
          <w:rFonts w:eastAsia="方正仿宋_GBK"/>
          <w:color w:val="000000"/>
        </w:rPr>
        <w:t>万元，占</w:t>
      </w:r>
      <w:r>
        <w:rPr>
          <w:rFonts w:hint="eastAsia" w:eastAsia="方正仿宋_GBK"/>
          <w:color w:val="000000"/>
          <w:lang w:val="en-US" w:eastAsia="zh-CN"/>
        </w:rPr>
        <w:t>92.2</w:t>
      </w:r>
      <w:r>
        <w:rPr>
          <w:rFonts w:eastAsia="方正仿宋_GBK"/>
          <w:color w:val="000000"/>
        </w:rPr>
        <w:t>%；项目支出</w:t>
      </w:r>
      <w:r>
        <w:rPr>
          <w:rFonts w:hint="eastAsia" w:eastAsia="方正仿宋_GBK"/>
          <w:color w:val="000000"/>
          <w:lang w:val="en-US" w:eastAsia="zh-CN"/>
        </w:rPr>
        <w:t>1009.18</w:t>
      </w:r>
      <w:r>
        <w:rPr>
          <w:rFonts w:eastAsia="方正仿宋_GBK"/>
          <w:color w:val="000000"/>
        </w:rPr>
        <w:t>万元，占</w:t>
      </w:r>
      <w:r>
        <w:rPr>
          <w:rFonts w:hint="eastAsia" w:eastAsia="方正仿宋_GBK"/>
          <w:color w:val="000000"/>
          <w:lang w:val="en-US" w:eastAsia="zh-CN"/>
        </w:rPr>
        <w:t>7.8</w:t>
      </w:r>
      <w:r>
        <w:rPr>
          <w:rFonts w:eastAsia="方正仿宋_GBK"/>
          <w:color w:val="000000"/>
        </w:rPr>
        <w:t>%</w:t>
      </w:r>
      <w:r>
        <w:rPr>
          <w:rFonts w:hint="eastAsia" w:eastAsia="方正仿宋_GBK"/>
          <w:color w:val="000000"/>
          <w:lang w:eastAsia="zh-CN"/>
        </w:rPr>
        <w:t>。</w:t>
      </w:r>
    </w:p>
    <w:p>
      <w:pPr>
        <w:topLinePunct/>
        <w:spacing w:line="540" w:lineRule="exact"/>
        <w:ind w:firstLine="632" w:firstLineChars="200"/>
        <w:rPr>
          <w:rFonts w:eastAsia="方正仿宋_GBK"/>
          <w:color w:val="000000"/>
          <w:highlight w:val="none"/>
        </w:rPr>
      </w:pPr>
      <w:r>
        <w:rPr>
          <w:rFonts w:eastAsia="方正仿宋_GBK"/>
          <w:color w:val="000000"/>
          <w:highlight w:val="none"/>
        </w:rPr>
        <w:t>（图3：支出决算结构图）（饼状图）</w:t>
      </w: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pPr>
    </w:p>
    <w:p>
      <w:pPr>
        <w:topLinePunct/>
        <w:spacing w:line="540" w:lineRule="exact"/>
        <w:ind w:firstLine="632" w:firstLineChars="200"/>
      </w:pPr>
    </w:p>
    <w:p>
      <w:pPr>
        <w:topLinePunct/>
        <w:spacing w:line="540" w:lineRule="exact"/>
        <w:ind w:firstLine="632" w:firstLineChars="200"/>
      </w:pPr>
    </w:p>
    <w:p>
      <w:pPr>
        <w:topLinePunct/>
        <w:spacing w:line="540" w:lineRule="exact"/>
        <w:ind w:firstLine="632" w:firstLineChars="200"/>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rPr>
          <w:rFonts w:eastAsia="方正仿宋_GBK"/>
          <w:color w:val="000000"/>
          <w:highlight w:val="yellow"/>
        </w:rPr>
      </w:pPr>
      <w:r>
        <w:drawing>
          <wp:anchor distT="0" distB="0" distL="114300" distR="114300" simplePos="0" relativeHeight="251663360" behindDoc="1" locked="0" layoutInCell="1" allowOverlap="1">
            <wp:simplePos x="0" y="0"/>
            <wp:positionH relativeFrom="column">
              <wp:posOffset>4445</wp:posOffset>
            </wp:positionH>
            <wp:positionV relativeFrom="paragraph">
              <wp:posOffset>-2045335</wp:posOffset>
            </wp:positionV>
            <wp:extent cx="4734560" cy="2301875"/>
            <wp:effectExtent l="4445" t="4445" r="23495" b="17780"/>
            <wp:wrapTight wrapText="bothSides">
              <wp:wrapPolygon>
                <wp:start x="-20" y="-42"/>
                <wp:lineTo x="-20" y="21409"/>
                <wp:lineTo x="21533" y="21409"/>
                <wp:lineTo x="21533" y="-42"/>
                <wp:lineTo x="-20" y="-42"/>
              </wp:wrapPolygon>
            </wp:wrapTight>
            <wp:docPr id="1381"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topLinePunct/>
        <w:spacing w:line="540" w:lineRule="exact"/>
        <w:rPr>
          <w:rFonts w:eastAsia="方正仿宋_GBK"/>
          <w:color w:val="FF0000"/>
        </w:rPr>
      </w:pPr>
    </w:p>
    <w:p>
      <w:pPr>
        <w:topLinePunct/>
        <w:spacing w:line="540" w:lineRule="exact"/>
        <w:ind w:firstLine="632" w:firstLineChars="200"/>
        <w:outlineLvl w:val="1"/>
        <w:rPr>
          <w:rFonts w:hint="eastAsia" w:ascii="方正黑体_GBK" w:eastAsia="方正黑体_GBK"/>
          <w:color w:val="000000"/>
        </w:rPr>
      </w:pPr>
      <w:bookmarkStart w:id="34" w:name="_Toc144134978"/>
      <w:bookmarkStart w:id="35" w:name="_Toc15377208"/>
    </w:p>
    <w:p>
      <w:pPr>
        <w:topLinePunct/>
        <w:spacing w:line="540" w:lineRule="exact"/>
        <w:ind w:firstLine="632" w:firstLineChars="200"/>
        <w:outlineLvl w:val="1"/>
        <w:rPr>
          <w:rStyle w:val="28"/>
          <w:rFonts w:ascii="方正黑体_GBK" w:hAnsi="Times New Roman" w:eastAsia="方正黑体_GBK" w:cs="Times New Roman"/>
          <w:b w:val="0"/>
          <w:bCs w:val="0"/>
        </w:rPr>
      </w:pPr>
      <w:r>
        <w:rPr>
          <w:rFonts w:hint="eastAsia" w:ascii="方正黑体_GBK" w:eastAsia="方正黑体_GBK"/>
          <w:color w:val="000000"/>
        </w:rPr>
        <w:t>四、财</w:t>
      </w:r>
      <w:r>
        <w:rPr>
          <w:rStyle w:val="28"/>
          <w:rFonts w:hint="eastAsia" w:ascii="方正黑体_GBK" w:hAnsi="Times New Roman" w:eastAsia="方正黑体_GBK" w:cs="Times New Roman"/>
          <w:b w:val="0"/>
          <w:bCs w:val="0"/>
        </w:rPr>
        <w:t>政拨款收入支出决算总体情况说明</w:t>
      </w:r>
      <w:bookmarkEnd w:id="34"/>
      <w:bookmarkEnd w:id="35"/>
    </w:p>
    <w:p>
      <w:pPr>
        <w:topLinePunct/>
        <w:spacing w:line="540" w:lineRule="exact"/>
        <w:ind w:firstLine="632" w:firstLineChars="200"/>
        <w:rPr>
          <w:rFonts w:hint="eastAsia" w:eastAsia="方正仿宋_GBK"/>
          <w:color w:val="000000"/>
          <w:lang w:eastAsia="zh-CN"/>
        </w:rPr>
      </w:pPr>
      <w:r>
        <w:rPr>
          <w:rFonts w:eastAsia="方正仿宋_GBK"/>
          <w:color w:val="000000"/>
        </w:rPr>
        <w:t>2022年财政拨款收、支总计均为</w:t>
      </w:r>
      <w:r>
        <w:rPr>
          <w:rFonts w:hint="eastAsia" w:eastAsia="方正仿宋_GBK"/>
          <w:color w:val="000000"/>
          <w:lang w:val="en-US" w:eastAsia="zh-CN"/>
        </w:rPr>
        <w:t>1743.44</w:t>
      </w:r>
      <w:r>
        <w:rPr>
          <w:rFonts w:eastAsia="方正仿宋_GBK"/>
          <w:color w:val="000000"/>
        </w:rPr>
        <w:t>万元。与2021年相比，财政拨款收、支总计各增加</w:t>
      </w:r>
      <w:r>
        <w:rPr>
          <w:rFonts w:hint="eastAsia" w:eastAsia="方正仿宋_GBK"/>
          <w:color w:val="000000"/>
          <w:lang w:val="en-US" w:eastAsia="zh-CN"/>
        </w:rPr>
        <w:t>219.92</w:t>
      </w:r>
      <w:r>
        <w:rPr>
          <w:rFonts w:eastAsia="方正仿宋_GBK"/>
          <w:color w:val="000000"/>
        </w:rPr>
        <w:t>万元，增长</w:t>
      </w:r>
      <w:r>
        <w:rPr>
          <w:rFonts w:hint="eastAsia" w:eastAsia="方正仿宋_GBK"/>
          <w:color w:val="000000"/>
          <w:lang w:val="en-US" w:eastAsia="zh-CN"/>
        </w:rPr>
        <w:t>14.4</w:t>
      </w:r>
      <w:r>
        <w:rPr>
          <w:rFonts w:eastAsia="方正仿宋_GBK"/>
          <w:color w:val="000000"/>
        </w:rPr>
        <w:t>%。主要变动原因是</w:t>
      </w:r>
      <w:r>
        <w:rPr>
          <w:rFonts w:hint="eastAsia" w:eastAsia="方正仿宋_GBK"/>
          <w:color w:val="000000"/>
          <w:lang w:eastAsia="zh-CN"/>
        </w:rPr>
        <w:t>财政项目拨款收入增加。</w:t>
      </w:r>
    </w:p>
    <w:p>
      <w:pPr>
        <w:topLinePunct/>
        <w:spacing w:line="540" w:lineRule="exact"/>
        <w:ind w:firstLine="632" w:firstLineChars="200"/>
        <w:rPr>
          <w:rFonts w:eastAsia="方正仿宋_GBK"/>
          <w:color w:val="000000"/>
          <w:highlight w:val="none"/>
        </w:rPr>
      </w:pPr>
      <w:r>
        <w:rPr>
          <w:rFonts w:eastAsia="方正仿宋_GBK"/>
          <w:color w:val="000000"/>
          <w:highlight w:val="none"/>
        </w:rPr>
        <w:t>（图4：财政拨款收、支决算总计变动情况）（柱状图）</w:t>
      </w: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r>
        <w:drawing>
          <wp:anchor distT="0" distB="0" distL="114300" distR="114300" simplePos="0" relativeHeight="251660288" behindDoc="1" locked="0" layoutInCell="1" allowOverlap="1">
            <wp:simplePos x="0" y="0"/>
            <wp:positionH relativeFrom="column">
              <wp:posOffset>410845</wp:posOffset>
            </wp:positionH>
            <wp:positionV relativeFrom="paragraph">
              <wp:posOffset>-1892935</wp:posOffset>
            </wp:positionV>
            <wp:extent cx="4372610" cy="2161540"/>
            <wp:effectExtent l="4445" t="4445" r="23495" b="5715"/>
            <wp:wrapTight wrapText="bothSides">
              <wp:wrapPolygon>
                <wp:start x="-22" y="-44"/>
                <wp:lineTo x="-22" y="21467"/>
                <wp:lineTo x="21528" y="21467"/>
                <wp:lineTo x="21528" y="-44"/>
                <wp:lineTo x="-22" y="-44"/>
              </wp:wrapPolygon>
            </wp:wrapTight>
            <wp:docPr id="1368"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topLinePunct/>
        <w:spacing w:line="540" w:lineRule="exact"/>
        <w:rPr>
          <w:rFonts w:eastAsia="方正仿宋_GBK"/>
          <w:b/>
          <w:bCs/>
          <w:color w:val="00B050"/>
        </w:rPr>
      </w:pPr>
    </w:p>
    <w:p>
      <w:pPr>
        <w:topLinePunct/>
        <w:spacing w:line="540" w:lineRule="exact"/>
        <w:ind w:firstLine="632" w:firstLineChars="200"/>
        <w:outlineLvl w:val="1"/>
        <w:rPr>
          <w:rFonts w:ascii="方正黑体_GBK" w:eastAsia="方正黑体_GBK"/>
          <w:color w:val="000000"/>
        </w:rPr>
      </w:pPr>
      <w:bookmarkStart w:id="36" w:name="_Toc144134979"/>
      <w:bookmarkStart w:id="37" w:name="_Toc15377209"/>
      <w:r>
        <w:rPr>
          <w:rFonts w:ascii="方正黑体_GBK" w:eastAsia="方正黑体_GBK"/>
          <w:color w:val="000000"/>
        </w:rPr>
        <w:t>五、一般公共预算财政拨款支出决算情况说明</w:t>
      </w:r>
      <w:bookmarkEnd w:id="36"/>
      <w:bookmarkEnd w:id="37"/>
    </w:p>
    <w:p>
      <w:pPr>
        <w:topLinePunct/>
        <w:spacing w:line="540" w:lineRule="exact"/>
        <w:ind w:firstLine="632" w:firstLineChars="200"/>
        <w:outlineLvl w:val="2"/>
        <w:rPr>
          <w:rFonts w:ascii="方正楷体_GBK" w:eastAsia="方正楷体_GBK"/>
          <w:bCs/>
          <w:color w:val="000000"/>
        </w:rPr>
      </w:pPr>
      <w:bookmarkStart w:id="38" w:name="_Toc15377210"/>
      <w:r>
        <w:rPr>
          <w:rFonts w:hint="eastAsia" w:ascii="方正楷体_GBK" w:eastAsia="方正楷体_GBK"/>
          <w:bCs/>
          <w:color w:val="000000"/>
        </w:rPr>
        <w:t>（一）一般公共预算财政拨款支出决算总体情况</w:t>
      </w:r>
      <w:bookmarkEnd w:id="38"/>
    </w:p>
    <w:p>
      <w:pPr>
        <w:topLinePunct/>
        <w:spacing w:line="540" w:lineRule="exact"/>
        <w:ind w:firstLine="632" w:firstLineChars="200"/>
        <w:rPr>
          <w:rFonts w:eastAsia="方正仿宋_GBK"/>
          <w:color w:val="000000"/>
        </w:rPr>
      </w:pPr>
      <w:r>
        <w:rPr>
          <w:rFonts w:eastAsia="方正仿宋_GBK"/>
          <w:color w:val="000000"/>
        </w:rPr>
        <w:t>2022年一般公共预算财政拨款支出</w:t>
      </w:r>
      <w:r>
        <w:rPr>
          <w:rFonts w:hint="eastAsia" w:eastAsia="方正仿宋_GBK"/>
          <w:color w:val="000000"/>
          <w:lang w:val="en-US" w:eastAsia="zh-CN"/>
        </w:rPr>
        <w:t>1743.44</w:t>
      </w:r>
      <w:r>
        <w:rPr>
          <w:rFonts w:eastAsia="方正仿宋_GBK"/>
          <w:color w:val="000000"/>
        </w:rPr>
        <w:t>万元，占本年支出合计的</w:t>
      </w:r>
      <w:r>
        <w:rPr>
          <w:rFonts w:hint="eastAsia" w:eastAsia="方正仿宋_GBK"/>
          <w:color w:val="000000"/>
          <w:lang w:val="en-US" w:eastAsia="zh-CN"/>
        </w:rPr>
        <w:t>13.4</w:t>
      </w:r>
      <w:r>
        <w:rPr>
          <w:rFonts w:eastAsia="方正仿宋_GBK"/>
          <w:color w:val="000000"/>
        </w:rPr>
        <w:t>%。与2021年相比，一般公共预算财政拨款支出增加</w:t>
      </w:r>
      <w:r>
        <w:rPr>
          <w:rFonts w:hint="eastAsia" w:eastAsia="方正仿宋_GBK"/>
          <w:color w:val="000000"/>
          <w:lang w:val="en-US" w:eastAsia="zh-CN"/>
        </w:rPr>
        <w:t>219.92</w:t>
      </w:r>
      <w:r>
        <w:rPr>
          <w:rFonts w:eastAsia="方正仿宋_GBK"/>
          <w:color w:val="000000"/>
        </w:rPr>
        <w:t>万元，增长</w:t>
      </w:r>
      <w:r>
        <w:rPr>
          <w:rFonts w:hint="eastAsia" w:eastAsia="方正仿宋_GBK"/>
          <w:color w:val="000000"/>
          <w:lang w:val="en-US" w:eastAsia="zh-CN"/>
        </w:rPr>
        <w:t>14.4</w:t>
      </w:r>
      <w:r>
        <w:rPr>
          <w:rFonts w:eastAsia="方正仿宋_GBK"/>
          <w:color w:val="000000"/>
        </w:rPr>
        <w:t>%。主要变动原因是</w:t>
      </w:r>
      <w:r>
        <w:rPr>
          <w:rFonts w:ascii="方正黑体_GBK" w:eastAsia="方正黑体_GBK"/>
          <w:color w:val="000000"/>
        </w:rPr>
        <w:t>一般公共预算财政</w:t>
      </w:r>
      <w:r>
        <w:rPr>
          <w:rFonts w:hint="eastAsia" w:ascii="方正黑体_GBK" w:eastAsia="方正黑体_GBK"/>
          <w:color w:val="000000"/>
          <w:lang w:eastAsia="zh-CN"/>
        </w:rPr>
        <w:t>拨款</w:t>
      </w:r>
      <w:r>
        <w:rPr>
          <w:rFonts w:hint="eastAsia" w:eastAsia="方正仿宋_GBK"/>
          <w:color w:val="000000"/>
          <w:lang w:eastAsia="zh-CN"/>
        </w:rPr>
        <w:t>项目收入增加，相应的</w:t>
      </w:r>
      <w:r>
        <w:rPr>
          <w:rFonts w:ascii="方正黑体_GBK" w:eastAsia="方正黑体_GBK"/>
          <w:color w:val="000000"/>
        </w:rPr>
        <w:t>一般公共预算财政</w:t>
      </w:r>
      <w:r>
        <w:rPr>
          <w:rFonts w:hint="eastAsia" w:ascii="方正黑体_GBK" w:eastAsia="方正黑体_GBK"/>
          <w:color w:val="000000"/>
          <w:lang w:eastAsia="zh-CN"/>
        </w:rPr>
        <w:t>拨款项目支出增加。</w:t>
      </w:r>
    </w:p>
    <w:p>
      <w:pPr>
        <w:topLinePunct/>
        <w:spacing w:line="540" w:lineRule="exact"/>
        <w:ind w:firstLine="632" w:firstLineChars="200"/>
        <w:rPr>
          <w:rFonts w:eastAsia="方正仿宋_GBK"/>
          <w:color w:val="000000"/>
          <w:highlight w:val="none"/>
        </w:rPr>
      </w:pPr>
      <w:r>
        <w:rPr>
          <w:rFonts w:eastAsia="方正仿宋_GBK"/>
          <w:color w:val="000000"/>
          <w:highlight w:val="none"/>
        </w:rPr>
        <w:t>（图5：一般公共预算财政拨款支出决算变动情况）（柱状图）</w:t>
      </w:r>
    </w:p>
    <w:p>
      <w:pPr>
        <w:topLinePunct/>
        <w:spacing w:line="540" w:lineRule="exact"/>
        <w:ind w:firstLine="632" w:firstLineChars="200"/>
        <w:rPr>
          <w:rFonts w:eastAsia="方正仿宋_GBK"/>
          <w:color w:val="000000"/>
          <w:highlight w:val="yellow"/>
        </w:rPr>
      </w:pPr>
    </w:p>
    <w:p>
      <w:pPr>
        <w:topLinePunct/>
        <w:spacing w:line="540" w:lineRule="exact"/>
        <w:rPr>
          <w:rFonts w:eastAsia="方正仿宋_GBK"/>
          <w:color w:val="000000"/>
          <w:highlight w:val="yellow"/>
        </w:rPr>
      </w:pPr>
    </w:p>
    <w:p>
      <w:pPr>
        <w:topLinePunct/>
        <w:spacing w:line="540" w:lineRule="exact"/>
        <w:ind w:firstLine="632" w:firstLineChars="200"/>
        <w:rPr>
          <w:rFonts w:eastAsia="方正仿宋_GBK"/>
          <w:color w:val="000000"/>
          <w:highlight w:val="yellow"/>
        </w:rPr>
      </w:pPr>
      <w:r>
        <w:drawing>
          <wp:anchor distT="0" distB="0" distL="114300" distR="114300" simplePos="0" relativeHeight="251661312" behindDoc="1" locked="0" layoutInCell="1" allowOverlap="1">
            <wp:simplePos x="0" y="0"/>
            <wp:positionH relativeFrom="column">
              <wp:posOffset>396240</wp:posOffset>
            </wp:positionH>
            <wp:positionV relativeFrom="paragraph">
              <wp:posOffset>107950</wp:posOffset>
            </wp:positionV>
            <wp:extent cx="4238625" cy="2087245"/>
            <wp:effectExtent l="5080" t="5080" r="4445" b="22225"/>
            <wp:wrapTight wrapText="bothSides">
              <wp:wrapPolygon>
                <wp:start x="-26" y="-53"/>
                <wp:lineTo x="-26" y="21436"/>
                <wp:lineTo x="21526" y="21436"/>
                <wp:lineTo x="21526" y="-53"/>
                <wp:lineTo x="-26" y="-53"/>
              </wp:wrapPolygon>
            </wp:wrapTight>
            <wp:docPr id="1369"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rPr>
          <w:rFonts w:eastAsia="方正仿宋_GBK"/>
          <w:color w:val="000000"/>
          <w:highlight w:val="yellow"/>
        </w:rPr>
      </w:pPr>
    </w:p>
    <w:p>
      <w:pPr>
        <w:topLinePunct/>
        <w:spacing w:line="540" w:lineRule="exact"/>
        <w:rPr>
          <w:rFonts w:eastAsia="方正仿宋_GBK"/>
          <w:color w:val="000000"/>
        </w:rPr>
      </w:pPr>
    </w:p>
    <w:p>
      <w:pPr>
        <w:topLinePunct/>
        <w:spacing w:line="540" w:lineRule="exact"/>
        <w:ind w:firstLine="632" w:firstLineChars="200"/>
        <w:outlineLvl w:val="2"/>
        <w:rPr>
          <w:rFonts w:ascii="方正楷体_GBK" w:eastAsia="方正楷体_GBK"/>
          <w:bCs/>
          <w:color w:val="000000"/>
        </w:rPr>
      </w:pPr>
      <w:bookmarkStart w:id="39" w:name="_Toc15377211"/>
      <w:r>
        <w:rPr>
          <w:rFonts w:ascii="方正楷体_GBK" w:eastAsia="方正楷体_GBK"/>
          <w:bCs/>
          <w:color w:val="000000"/>
        </w:rPr>
        <w:t>（二）一般公共预算财政拨款支出决算结构情况</w:t>
      </w:r>
      <w:bookmarkEnd w:id="39"/>
    </w:p>
    <w:p>
      <w:pPr>
        <w:spacing w:line="600" w:lineRule="exact"/>
        <w:ind w:firstLine="640"/>
        <w:rPr>
          <w:rFonts w:ascii="仿宋" w:hAnsi="仿宋" w:eastAsia="仿宋"/>
          <w:b/>
          <w:color w:val="000000"/>
        </w:rPr>
      </w:pPr>
      <w:r>
        <w:rPr>
          <w:rFonts w:ascii="仿宋" w:hAnsi="仿宋" w:eastAsia="仿宋"/>
          <w:color w:val="000000"/>
        </w:rPr>
        <w:t>2022年</w:t>
      </w:r>
      <w:r>
        <w:rPr>
          <w:rFonts w:hint="eastAsia" w:ascii="仿宋" w:hAnsi="仿宋" w:eastAsia="仿宋"/>
          <w:color w:val="000000"/>
        </w:rPr>
        <w:t>一般公共预算财政拨款支出</w:t>
      </w:r>
      <w:r>
        <w:rPr>
          <w:rFonts w:hint="eastAsia" w:ascii="仿宋" w:hAnsi="仿宋" w:eastAsia="仿宋"/>
          <w:color w:val="000000"/>
          <w:lang w:val="en-US" w:eastAsia="zh-CN"/>
        </w:rPr>
        <w:t>1743.44</w:t>
      </w:r>
      <w:r>
        <w:rPr>
          <w:rFonts w:hint="eastAsia" w:ascii="仿宋" w:hAnsi="仿宋" w:eastAsia="仿宋"/>
          <w:color w:val="000000"/>
        </w:rPr>
        <w:t>万元，主要用于以下方面</w:t>
      </w:r>
      <w:r>
        <w:rPr>
          <w:rFonts w:ascii="仿宋" w:hAnsi="仿宋" w:eastAsia="仿宋"/>
          <w:color w:val="000000"/>
        </w:rPr>
        <w:t>:</w:t>
      </w:r>
      <w:r>
        <w:rPr>
          <w:rFonts w:hint="eastAsia" w:ascii="仿宋" w:hAnsi="仿宋" w:eastAsia="仿宋"/>
          <w:b/>
          <w:bCs/>
          <w:color w:val="000000"/>
        </w:rPr>
        <w:t>卫生健康支出</w:t>
      </w:r>
      <w:r>
        <w:rPr>
          <w:rFonts w:hint="eastAsia" w:ascii="仿宋" w:hAnsi="仿宋" w:eastAsia="仿宋"/>
          <w:color w:val="000000"/>
          <w:lang w:val="en-US" w:eastAsia="zh-CN"/>
        </w:rPr>
        <w:t>1743.44</w:t>
      </w:r>
      <w:r>
        <w:rPr>
          <w:rFonts w:hint="eastAsia" w:ascii="仿宋" w:hAnsi="仿宋" w:eastAsia="仿宋"/>
          <w:color w:val="000000"/>
        </w:rPr>
        <w:t>元，占</w:t>
      </w:r>
      <w:r>
        <w:rPr>
          <w:rFonts w:hint="eastAsia" w:ascii="仿宋" w:hAnsi="仿宋" w:eastAsia="仿宋"/>
          <w:color w:val="000000"/>
          <w:lang w:val="en-US" w:eastAsia="zh-CN"/>
        </w:rPr>
        <w:t>100</w:t>
      </w:r>
      <w:r>
        <w:rPr>
          <w:rFonts w:ascii="仿宋" w:hAnsi="仿宋" w:eastAsia="仿宋"/>
          <w:color w:val="000000"/>
        </w:rPr>
        <w:t>%</w:t>
      </w:r>
      <w:r>
        <w:rPr>
          <w:rFonts w:hint="eastAsia" w:ascii="仿宋" w:hAnsi="仿宋" w:eastAsia="仿宋"/>
          <w:color w:val="000000"/>
          <w:lang w:eastAsia="zh-CN"/>
        </w:rPr>
        <w:t>。</w:t>
      </w:r>
    </w:p>
    <w:p>
      <w:pPr>
        <w:topLinePunct/>
        <w:spacing w:line="540" w:lineRule="exact"/>
        <w:ind w:firstLine="632" w:firstLineChars="200"/>
        <w:rPr>
          <w:rFonts w:eastAsia="方正仿宋_GBK"/>
          <w:color w:val="000000"/>
          <w:highlight w:val="none"/>
        </w:rPr>
      </w:pPr>
      <w:r>
        <w:rPr>
          <w:rFonts w:eastAsia="方正仿宋_GBK"/>
          <w:color w:val="000000"/>
          <w:highlight w:val="none"/>
        </w:rPr>
        <w:t>（图6：一般公共预算财政拨款支出决算结构）（饼状图）</w:t>
      </w:r>
    </w:p>
    <w:p>
      <w:pPr>
        <w:topLinePunct/>
        <w:spacing w:line="540" w:lineRule="exact"/>
        <w:ind w:firstLine="632" w:firstLineChars="200"/>
        <w:rPr>
          <w:rFonts w:eastAsia="方正仿宋_GBK"/>
          <w:color w:val="000000"/>
          <w:highlight w:val="yellow"/>
        </w:rPr>
      </w:pPr>
      <w:bookmarkStart w:id="92" w:name="_GoBack"/>
      <w:bookmarkEnd w:id="92"/>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outlineLvl w:val="2"/>
        <w:rPr>
          <w:rFonts w:ascii="方正楷体_GBK" w:eastAsia="方正楷体_GBK"/>
          <w:bCs/>
          <w:color w:val="000000"/>
        </w:rPr>
      </w:pPr>
      <w:bookmarkStart w:id="40" w:name="_Toc15377212"/>
      <w:r>
        <w:drawing>
          <wp:anchor distT="0" distB="0" distL="114300" distR="114300" simplePos="0" relativeHeight="251664384" behindDoc="1" locked="0" layoutInCell="1" allowOverlap="1">
            <wp:simplePos x="0" y="0"/>
            <wp:positionH relativeFrom="column">
              <wp:posOffset>405765</wp:posOffset>
            </wp:positionH>
            <wp:positionV relativeFrom="paragraph">
              <wp:posOffset>-2883535</wp:posOffset>
            </wp:positionV>
            <wp:extent cx="4981575" cy="3135630"/>
            <wp:effectExtent l="4445" t="4445" r="5080" b="22225"/>
            <wp:wrapTight wrapText="bothSides">
              <wp:wrapPolygon>
                <wp:start x="-19" y="-31"/>
                <wp:lineTo x="-19" y="21491"/>
                <wp:lineTo x="21539" y="21491"/>
                <wp:lineTo x="21539" y="-31"/>
                <wp:lineTo x="-19" y="-31"/>
              </wp:wrapPolygon>
            </wp:wrapTight>
            <wp:docPr id="1384"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topLinePunct/>
        <w:spacing w:line="540" w:lineRule="exact"/>
        <w:ind w:firstLine="632" w:firstLineChars="200"/>
        <w:outlineLvl w:val="2"/>
        <w:rPr>
          <w:rFonts w:ascii="方正楷体_GBK" w:eastAsia="方正楷体_GBK"/>
          <w:bCs/>
          <w:color w:val="000000"/>
        </w:rPr>
      </w:pPr>
    </w:p>
    <w:p>
      <w:pPr>
        <w:topLinePunct/>
        <w:spacing w:line="540" w:lineRule="exact"/>
        <w:ind w:firstLine="632" w:firstLineChars="200"/>
        <w:outlineLvl w:val="2"/>
        <w:rPr>
          <w:rFonts w:ascii="方正楷体_GBK" w:eastAsia="方正楷体_GBK"/>
          <w:bCs/>
          <w:color w:val="000000"/>
        </w:rPr>
      </w:pPr>
      <w:r>
        <w:rPr>
          <w:rFonts w:ascii="方正楷体_GBK" w:eastAsia="方正楷体_GBK"/>
          <w:bCs/>
          <w:color w:val="000000"/>
        </w:rPr>
        <w:t>（三）一般公共预算财政拨款支出决算具体情况</w:t>
      </w:r>
      <w:bookmarkEnd w:id="40"/>
    </w:p>
    <w:p>
      <w:pPr>
        <w:topLinePunct/>
        <w:spacing w:line="540" w:lineRule="exact"/>
        <w:ind w:firstLine="632" w:firstLineChars="200"/>
        <w:outlineLvl w:val="2"/>
        <w:rPr>
          <w:rFonts w:eastAsia="方正仿宋_GBK"/>
          <w:color w:val="FF0000"/>
        </w:rPr>
      </w:pPr>
      <w:bookmarkStart w:id="41" w:name="_Toc15377213"/>
      <w:bookmarkStart w:id="42" w:name="_Toc15377444"/>
      <w:bookmarkStart w:id="43" w:name="_Toc15378460"/>
      <w:r>
        <w:rPr>
          <w:rFonts w:eastAsia="方正仿宋_GBK"/>
          <w:b/>
          <w:bCs/>
          <w:color w:val="000000"/>
        </w:rPr>
        <w:t>2022年一般公共预算支出决算数为</w:t>
      </w:r>
      <w:r>
        <w:rPr>
          <w:rFonts w:hint="eastAsia" w:eastAsia="方正仿宋_GBK"/>
          <w:b/>
          <w:bCs/>
          <w:color w:val="000000"/>
          <w:lang w:val="en-US" w:eastAsia="zh-CN"/>
        </w:rPr>
        <w:t>1743.44万元</w:t>
      </w:r>
      <w:r>
        <w:rPr>
          <w:rFonts w:eastAsia="方正仿宋_GBK"/>
          <w:color w:val="000000"/>
        </w:rPr>
        <w:t>，</w:t>
      </w:r>
      <w:r>
        <w:rPr>
          <w:rStyle w:val="22"/>
          <w:rFonts w:eastAsia="方正仿宋_GBK"/>
          <w:color w:val="000000"/>
        </w:rPr>
        <w:t>完成预算</w:t>
      </w:r>
      <w:r>
        <w:rPr>
          <w:rStyle w:val="22"/>
          <w:rFonts w:hint="eastAsia" w:eastAsia="方正仿宋_GBK"/>
          <w:color w:val="000000"/>
          <w:lang w:val="en-US" w:eastAsia="zh-CN"/>
        </w:rPr>
        <w:t>100</w:t>
      </w:r>
      <w:r>
        <w:rPr>
          <w:rStyle w:val="22"/>
          <w:rFonts w:eastAsia="方正仿宋_GBK"/>
          <w:color w:val="000000"/>
        </w:rPr>
        <w:t>%。其中：</w:t>
      </w:r>
      <w:bookmarkEnd w:id="41"/>
      <w:bookmarkEnd w:id="42"/>
      <w:bookmarkEnd w:id="43"/>
    </w:p>
    <w:p>
      <w:pPr>
        <w:topLinePunct/>
        <w:spacing w:line="540" w:lineRule="exact"/>
        <w:ind w:firstLine="632" w:firstLineChars="200"/>
        <w:rPr>
          <w:rFonts w:eastAsia="方正仿宋_GBK"/>
          <w:b/>
          <w:bCs/>
          <w:color w:val="000000"/>
        </w:rPr>
      </w:pPr>
      <w:r>
        <w:rPr>
          <w:rStyle w:val="22"/>
          <w:rFonts w:hint="eastAsia" w:eastAsia="方正仿宋_GBK"/>
          <w:color w:val="000000"/>
          <w:lang w:val="en-US" w:eastAsia="zh-CN"/>
        </w:rPr>
        <w:t>1</w:t>
      </w:r>
      <w:r>
        <w:rPr>
          <w:rStyle w:val="22"/>
          <w:rFonts w:eastAsia="方正仿宋_GBK"/>
          <w:color w:val="000000"/>
        </w:rPr>
        <w:t>.</w:t>
      </w:r>
      <w:r>
        <w:rPr>
          <w:rStyle w:val="22"/>
          <w:rFonts w:hint="eastAsia" w:eastAsia="方正仿宋_GBK"/>
          <w:color w:val="000000"/>
        </w:rPr>
        <w:t>2100199</w:t>
      </w:r>
      <w:r>
        <w:rPr>
          <w:rStyle w:val="22"/>
          <w:rFonts w:hint="eastAsia" w:eastAsia="方正仿宋_GBK"/>
          <w:color w:val="000000"/>
          <w:lang w:eastAsia="zh-CN"/>
        </w:rPr>
        <w:t>卫生健康支出（类）卫生健康管理事务（款）</w:t>
      </w:r>
      <w:r>
        <w:rPr>
          <w:rStyle w:val="22"/>
          <w:rFonts w:hint="eastAsia" w:eastAsia="方正仿宋_GBK"/>
          <w:color w:val="000000"/>
          <w:lang w:val="en-US" w:eastAsia="zh-CN"/>
        </w:rPr>
        <w:t>其他卫生健康管理事务支出（项）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444.82</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Fonts w:eastAsia="方正仿宋_GBK"/>
          <w:b/>
          <w:bCs/>
          <w:color w:val="000000"/>
        </w:rPr>
      </w:pPr>
      <w:r>
        <w:rPr>
          <w:rStyle w:val="22"/>
          <w:rFonts w:hint="eastAsia" w:eastAsia="方正仿宋_GBK"/>
          <w:color w:val="000000"/>
          <w:lang w:val="en-US" w:eastAsia="zh-CN"/>
        </w:rPr>
        <w:t>2</w:t>
      </w:r>
      <w:r>
        <w:rPr>
          <w:rStyle w:val="22"/>
          <w:rFonts w:eastAsia="方正仿宋_GBK"/>
          <w:color w:val="000000"/>
        </w:rPr>
        <w:t>.</w:t>
      </w:r>
      <w:r>
        <w:rPr>
          <w:rStyle w:val="22"/>
          <w:rFonts w:hint="eastAsia" w:eastAsia="方正仿宋_GBK"/>
          <w:color w:val="000000"/>
          <w:lang w:val="en-US" w:eastAsia="zh-CN"/>
        </w:rPr>
        <w:t>2100207</w:t>
      </w:r>
      <w:r>
        <w:rPr>
          <w:rStyle w:val="22"/>
          <w:rFonts w:hint="eastAsia" w:eastAsia="方正仿宋_GBK"/>
          <w:color w:val="000000"/>
          <w:lang w:eastAsia="zh-CN"/>
        </w:rPr>
        <w:t>卫生健康支出（类）公立医院（款）</w:t>
      </w:r>
      <w:r>
        <w:rPr>
          <w:rStyle w:val="22"/>
          <w:rFonts w:hint="eastAsia" w:eastAsia="方正仿宋_GBK"/>
          <w:color w:val="000000"/>
          <w:lang w:val="en-US" w:eastAsia="zh-CN"/>
        </w:rPr>
        <w:t>儿童医院（项）：</w:t>
      </w:r>
      <w:r>
        <w:rPr>
          <w:rStyle w:val="22"/>
          <w:rFonts w:eastAsia="方正仿宋_GBK"/>
          <w:b w:val="0"/>
          <w:bCs w:val="0"/>
          <w:color w:val="000000"/>
        </w:rPr>
        <w:t>支出决算为</w:t>
      </w:r>
      <w:r>
        <w:rPr>
          <w:rStyle w:val="22"/>
          <w:rFonts w:hint="eastAsia" w:eastAsia="方正仿宋_GBK"/>
          <w:b w:val="0"/>
          <w:bCs w:val="0"/>
          <w:color w:val="000000"/>
        </w:rPr>
        <w:t>802.11</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Fonts w:eastAsia="方正仿宋_GBK"/>
          <w:b/>
          <w:bCs/>
          <w:color w:val="000000"/>
        </w:rPr>
      </w:pPr>
      <w:r>
        <w:rPr>
          <w:rStyle w:val="22"/>
          <w:rFonts w:hint="eastAsia" w:eastAsia="方正仿宋_GBK"/>
          <w:color w:val="000000"/>
          <w:lang w:val="en-US" w:eastAsia="zh-CN"/>
        </w:rPr>
        <w:t>3</w:t>
      </w:r>
      <w:r>
        <w:rPr>
          <w:rStyle w:val="22"/>
          <w:rFonts w:eastAsia="方正仿宋_GBK"/>
          <w:color w:val="000000"/>
        </w:rPr>
        <w:t>.</w:t>
      </w:r>
      <w:r>
        <w:rPr>
          <w:rStyle w:val="22"/>
          <w:rFonts w:hint="eastAsia" w:eastAsia="方正仿宋_GBK"/>
          <w:color w:val="000000"/>
          <w:lang w:val="en-US" w:eastAsia="zh-CN"/>
        </w:rPr>
        <w:t>2100299</w:t>
      </w:r>
      <w:r>
        <w:rPr>
          <w:rStyle w:val="22"/>
          <w:rFonts w:hint="eastAsia" w:eastAsia="方正仿宋_GBK"/>
          <w:color w:val="000000"/>
          <w:lang w:eastAsia="zh-CN"/>
        </w:rPr>
        <w:t>卫生健康支出（类）公立医院（款）</w:t>
      </w:r>
      <w:r>
        <w:rPr>
          <w:rStyle w:val="22"/>
          <w:rFonts w:hint="eastAsia" w:eastAsia="方正仿宋_GBK"/>
          <w:color w:val="000000"/>
          <w:lang w:val="en-US" w:eastAsia="zh-CN"/>
        </w:rPr>
        <w:t>其他公立医院支出（项）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89.66</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Style w:val="22"/>
          <w:rFonts w:eastAsia="方正仿宋_GBK"/>
          <w:b w:val="0"/>
          <w:bCs w:val="0"/>
          <w:color w:val="000000"/>
        </w:rPr>
      </w:pPr>
      <w:r>
        <w:rPr>
          <w:rStyle w:val="22"/>
          <w:rFonts w:hint="eastAsia" w:eastAsia="方正仿宋_GBK"/>
          <w:color w:val="000000"/>
          <w:lang w:val="en-US" w:eastAsia="zh-CN"/>
        </w:rPr>
        <w:t>4</w:t>
      </w:r>
      <w:r>
        <w:rPr>
          <w:rStyle w:val="22"/>
          <w:rFonts w:eastAsia="方正仿宋_GBK"/>
          <w:color w:val="000000"/>
        </w:rPr>
        <w:t>.</w:t>
      </w:r>
      <w:r>
        <w:rPr>
          <w:rStyle w:val="22"/>
          <w:rFonts w:hint="eastAsia" w:eastAsia="方正仿宋_GBK"/>
          <w:color w:val="000000"/>
          <w:lang w:val="en-US" w:eastAsia="zh-CN"/>
        </w:rPr>
        <w:t>2100408</w:t>
      </w:r>
      <w:r>
        <w:rPr>
          <w:rStyle w:val="22"/>
          <w:rFonts w:hint="eastAsia" w:eastAsia="方正仿宋_GBK"/>
          <w:color w:val="000000"/>
          <w:lang w:eastAsia="zh-CN"/>
        </w:rPr>
        <w:t>卫生健康支出（类）公共卫生（款）</w:t>
      </w:r>
      <w:r>
        <w:rPr>
          <w:rStyle w:val="22"/>
          <w:rFonts w:hint="eastAsia" w:eastAsia="方正仿宋_GBK"/>
          <w:color w:val="000000"/>
          <w:lang w:val="en-US" w:eastAsia="zh-CN"/>
        </w:rPr>
        <w:t>基本公共卫生服务（项）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20.74</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Fonts w:eastAsia="方正仿宋_GBK"/>
          <w:b/>
          <w:bCs/>
          <w:color w:val="000000"/>
        </w:rPr>
      </w:pPr>
      <w:r>
        <w:rPr>
          <w:rStyle w:val="22"/>
          <w:rFonts w:hint="eastAsia" w:eastAsia="方正仿宋_GBK"/>
          <w:color w:val="000000"/>
          <w:lang w:val="en-US" w:eastAsia="zh-CN"/>
        </w:rPr>
        <w:t>5</w:t>
      </w:r>
      <w:r>
        <w:rPr>
          <w:rStyle w:val="22"/>
          <w:rFonts w:eastAsia="方正仿宋_GBK"/>
          <w:color w:val="000000"/>
        </w:rPr>
        <w:t>.</w:t>
      </w:r>
      <w:r>
        <w:rPr>
          <w:rStyle w:val="22"/>
          <w:rFonts w:hint="eastAsia" w:eastAsia="方正仿宋_GBK"/>
          <w:color w:val="000000"/>
          <w:lang w:val="en-US" w:eastAsia="zh-CN"/>
        </w:rPr>
        <w:t>2100409</w:t>
      </w:r>
      <w:r>
        <w:rPr>
          <w:rStyle w:val="22"/>
          <w:rFonts w:hint="eastAsia" w:eastAsia="方正仿宋_GBK"/>
          <w:color w:val="000000"/>
          <w:lang w:eastAsia="zh-CN"/>
        </w:rPr>
        <w:t>卫生健康支出（类）公共卫生（款）</w:t>
      </w:r>
      <w:r>
        <w:rPr>
          <w:rStyle w:val="22"/>
          <w:rFonts w:hint="eastAsia" w:eastAsia="方正仿宋_GBK"/>
          <w:color w:val="000000"/>
          <w:lang w:val="en-US" w:eastAsia="zh-CN"/>
        </w:rPr>
        <w:t>重大公共卫生服务（项）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15.64</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Fonts w:eastAsia="方正仿宋_GBK"/>
          <w:b/>
          <w:bCs/>
          <w:color w:val="000000"/>
        </w:rPr>
      </w:pPr>
      <w:r>
        <w:rPr>
          <w:rStyle w:val="22"/>
          <w:rFonts w:hint="eastAsia" w:eastAsia="方正仿宋_GBK"/>
          <w:color w:val="000000"/>
          <w:lang w:val="en-US" w:eastAsia="zh-CN"/>
        </w:rPr>
        <w:t>6.2100410</w:t>
      </w:r>
      <w:r>
        <w:rPr>
          <w:rStyle w:val="22"/>
          <w:rFonts w:hint="eastAsia" w:eastAsia="方正仿宋_GBK"/>
          <w:color w:val="000000"/>
          <w:lang w:eastAsia="zh-CN"/>
        </w:rPr>
        <w:t>卫生健康支出（类）公共卫生（款）</w:t>
      </w:r>
      <w:r>
        <w:rPr>
          <w:rStyle w:val="22"/>
          <w:rFonts w:hint="eastAsia" w:eastAsia="方正仿宋_GBK"/>
          <w:color w:val="000000"/>
          <w:lang w:val="en-US" w:eastAsia="zh-CN"/>
        </w:rPr>
        <w:t>突发公共卫生事件应急处理（项）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132.61</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Fonts w:eastAsia="方正仿宋_GBK"/>
          <w:b/>
          <w:bCs/>
          <w:color w:val="000000"/>
        </w:rPr>
      </w:pPr>
      <w:r>
        <w:rPr>
          <w:rStyle w:val="22"/>
          <w:rFonts w:hint="eastAsia" w:eastAsia="方正仿宋_GBK"/>
          <w:color w:val="000000"/>
          <w:lang w:val="en-US" w:eastAsia="zh-CN"/>
        </w:rPr>
        <w:t>7</w:t>
      </w:r>
      <w:r>
        <w:rPr>
          <w:rStyle w:val="22"/>
          <w:rFonts w:eastAsia="方正仿宋_GBK"/>
          <w:color w:val="000000"/>
        </w:rPr>
        <w:t>.</w:t>
      </w:r>
      <w:r>
        <w:rPr>
          <w:rStyle w:val="22"/>
          <w:rFonts w:hint="eastAsia" w:eastAsia="方正仿宋_GBK"/>
          <w:color w:val="000000"/>
          <w:lang w:val="en-US" w:eastAsia="zh-CN"/>
        </w:rPr>
        <w:t>2101103</w:t>
      </w:r>
      <w:r>
        <w:rPr>
          <w:rStyle w:val="22"/>
          <w:rFonts w:hint="eastAsia" w:eastAsia="方正仿宋_GBK"/>
          <w:color w:val="000000"/>
          <w:lang w:eastAsia="zh-CN"/>
        </w:rPr>
        <w:t>卫生健康支出（类）行政事业单位医疗（款）</w:t>
      </w:r>
      <w:r>
        <w:rPr>
          <w:rStyle w:val="22"/>
          <w:rFonts w:hint="eastAsia" w:eastAsia="方正仿宋_GBK"/>
          <w:color w:val="000000"/>
          <w:lang w:val="en-US" w:eastAsia="zh-CN"/>
        </w:rPr>
        <w:t>公务员医疗补助（项）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13.34</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Style w:val="22"/>
          <w:rFonts w:eastAsia="方正仿宋_GBK"/>
          <w:b w:val="0"/>
          <w:bCs w:val="0"/>
          <w:color w:val="000000"/>
        </w:rPr>
      </w:pPr>
      <w:r>
        <w:rPr>
          <w:rStyle w:val="22"/>
          <w:rFonts w:hint="eastAsia" w:eastAsia="方正仿宋_GBK"/>
          <w:color w:val="000000"/>
          <w:lang w:val="en-US" w:eastAsia="zh-CN"/>
        </w:rPr>
        <w:t>8</w:t>
      </w:r>
      <w:r>
        <w:rPr>
          <w:rStyle w:val="22"/>
          <w:rFonts w:eastAsia="方正仿宋_GBK"/>
          <w:color w:val="000000"/>
        </w:rPr>
        <w:t>.</w:t>
      </w:r>
      <w:r>
        <w:rPr>
          <w:rStyle w:val="22"/>
          <w:rFonts w:hint="eastAsia" w:eastAsia="方正仿宋_GBK"/>
          <w:color w:val="000000"/>
          <w:lang w:val="en-US" w:eastAsia="zh-CN"/>
        </w:rPr>
        <w:t>2109999</w:t>
      </w:r>
      <w:r>
        <w:rPr>
          <w:rStyle w:val="22"/>
          <w:rFonts w:hint="eastAsia" w:eastAsia="方正仿宋_GBK"/>
          <w:color w:val="000000"/>
          <w:lang w:eastAsia="zh-CN"/>
        </w:rPr>
        <w:t>卫生健康支出（类）其他卫生健康支出（款）</w:t>
      </w:r>
      <w:r>
        <w:rPr>
          <w:rStyle w:val="22"/>
          <w:rFonts w:hint="eastAsia" w:eastAsia="方正仿宋_GBK"/>
          <w:color w:val="000000"/>
          <w:lang w:val="en-US" w:eastAsia="zh-CN"/>
        </w:rPr>
        <w:t>其他卫生健康支出（项）</w:t>
      </w:r>
      <w:r>
        <w:rPr>
          <w:rStyle w:val="22"/>
          <w:rFonts w:eastAsia="方正仿宋_GBK"/>
          <w:color w:val="000000"/>
        </w:rPr>
        <w:t>:</w:t>
      </w:r>
      <w:r>
        <w:rPr>
          <w:rStyle w:val="22"/>
          <w:rFonts w:eastAsia="方正仿宋_GBK"/>
          <w:b w:val="0"/>
          <w:bCs w:val="0"/>
          <w:color w:val="000000"/>
        </w:rPr>
        <w:t>支出决算为</w:t>
      </w:r>
      <w:r>
        <w:rPr>
          <w:rStyle w:val="22"/>
          <w:rFonts w:hint="eastAsia" w:eastAsia="方正仿宋_GBK"/>
          <w:b w:val="0"/>
          <w:bCs w:val="0"/>
          <w:color w:val="000000"/>
        </w:rPr>
        <w:t>224.52</w:t>
      </w:r>
      <w:r>
        <w:rPr>
          <w:rStyle w:val="22"/>
          <w:rFonts w:eastAsia="方正仿宋_GBK"/>
          <w:b w:val="0"/>
          <w:bCs w:val="0"/>
          <w:color w:val="000000"/>
        </w:rPr>
        <w:t>万元，完成预算</w:t>
      </w:r>
      <w:r>
        <w:rPr>
          <w:rStyle w:val="22"/>
          <w:rFonts w:hint="eastAsia" w:eastAsia="方正仿宋_GBK"/>
          <w:b w:val="0"/>
          <w:bCs w:val="0"/>
          <w:color w:val="000000"/>
          <w:lang w:val="en-US" w:eastAsia="zh-CN"/>
        </w:rPr>
        <w:t>100</w:t>
      </w:r>
      <w:r>
        <w:rPr>
          <w:rStyle w:val="22"/>
          <w:rFonts w:eastAsia="方正仿宋_GBK"/>
          <w:b w:val="0"/>
          <w:bCs w:val="0"/>
          <w:color w:val="000000"/>
        </w:rPr>
        <w:t>%，</w:t>
      </w:r>
      <w:r>
        <w:rPr>
          <w:rStyle w:val="22"/>
          <w:rFonts w:hint="eastAsia" w:eastAsia="方正仿宋_GBK"/>
          <w:b w:val="0"/>
          <w:bCs w:val="0"/>
          <w:color w:val="000000"/>
          <w:lang w:eastAsia="zh-CN"/>
        </w:rPr>
        <w:t>与预算数持平</w:t>
      </w:r>
      <w:r>
        <w:rPr>
          <w:rStyle w:val="22"/>
          <w:rFonts w:eastAsia="方正仿宋_GBK"/>
          <w:b w:val="0"/>
          <w:bCs w:val="0"/>
          <w:color w:val="000000"/>
        </w:rPr>
        <w:t>。</w:t>
      </w:r>
    </w:p>
    <w:p>
      <w:pPr>
        <w:topLinePunct/>
        <w:spacing w:line="540" w:lineRule="exact"/>
        <w:ind w:firstLine="632" w:firstLineChars="200"/>
        <w:rPr>
          <w:rStyle w:val="22"/>
          <w:rFonts w:eastAsia="方正仿宋_GBK"/>
          <w:b w:val="0"/>
          <w:bCs w:val="0"/>
          <w:color w:val="000000"/>
        </w:rPr>
      </w:pPr>
    </w:p>
    <w:p>
      <w:pPr>
        <w:topLinePunct/>
        <w:spacing w:line="540" w:lineRule="exact"/>
        <w:ind w:firstLine="632" w:firstLineChars="200"/>
        <w:outlineLvl w:val="1"/>
        <w:rPr>
          <w:rFonts w:ascii="方正黑体_GBK" w:eastAsia="方正黑体_GBK"/>
          <w:color w:val="000000"/>
        </w:rPr>
      </w:pPr>
      <w:bookmarkStart w:id="44" w:name="_Toc15377214"/>
      <w:bookmarkStart w:id="45" w:name="_Toc144134980"/>
      <w:r>
        <w:rPr>
          <w:rFonts w:hint="eastAsia" w:ascii="方正黑体_GBK" w:eastAsia="方正黑体_GBK"/>
          <w:color w:val="000000"/>
        </w:rPr>
        <w:t>六、一般公共预算财政拨款基本支出决算情况说明</w:t>
      </w:r>
      <w:bookmarkEnd w:id="44"/>
      <w:bookmarkEnd w:id="45"/>
      <w:r>
        <w:rPr>
          <w:rFonts w:hint="eastAsia" w:ascii="方正黑体_GBK" w:eastAsia="方正黑体_GBK"/>
          <w:color w:val="000000"/>
        </w:rPr>
        <w:tab/>
      </w:r>
    </w:p>
    <w:p>
      <w:pPr>
        <w:topLinePunct/>
        <w:spacing w:line="540" w:lineRule="exact"/>
        <w:ind w:firstLine="948" w:firstLineChars="300"/>
        <w:rPr>
          <w:rStyle w:val="22"/>
          <w:rFonts w:hint="eastAsia" w:ascii="Calibri" w:hAnsi="Calibri" w:eastAsia="方正仿宋_GBK"/>
          <w:b w:val="0"/>
          <w:bCs w:val="0"/>
          <w:color w:val="000000"/>
          <w:lang w:val="en-US" w:eastAsia="zh-CN"/>
        </w:rPr>
      </w:pPr>
      <w:r>
        <w:rPr>
          <w:rStyle w:val="22"/>
          <w:rFonts w:hint="eastAsia" w:ascii="Calibri" w:hAnsi="Calibri" w:eastAsia="方正仿宋_GBK"/>
          <w:b w:val="0"/>
          <w:bCs w:val="0"/>
          <w:color w:val="000000"/>
          <w:lang w:val="en-US" w:eastAsia="zh-CN"/>
        </w:rPr>
        <w:t>2022年一般公共预算财政拨款基本支出807.41万元，其中：</w:t>
      </w:r>
    </w:p>
    <w:p>
      <w:pPr>
        <w:topLinePunct/>
        <w:spacing w:line="540" w:lineRule="exact"/>
        <w:ind w:firstLine="632" w:firstLineChars="200"/>
        <w:rPr>
          <w:rStyle w:val="22"/>
          <w:rFonts w:hint="eastAsia" w:ascii="Calibri" w:hAnsi="Calibri" w:eastAsia="方正仿宋_GBK"/>
          <w:b w:val="0"/>
          <w:bCs w:val="0"/>
          <w:color w:val="000000"/>
          <w:lang w:val="en-US" w:eastAsia="zh-CN"/>
        </w:rPr>
      </w:pPr>
      <w:r>
        <w:rPr>
          <w:rStyle w:val="22"/>
          <w:rFonts w:hint="eastAsia" w:ascii="Calibri" w:hAnsi="Calibri" w:eastAsia="方正仿宋_GBK"/>
          <w:b w:val="0"/>
          <w:bCs w:val="0"/>
          <w:color w:val="000000"/>
          <w:lang w:val="en-US" w:eastAsia="zh-CN"/>
        </w:rPr>
        <w:t>人员经费807.41万元，主要包括：基本工资794.07万元、公务员医疗补助缴费13.34万元。</w:t>
      </w:r>
    </w:p>
    <w:p>
      <w:pPr>
        <w:topLinePunct/>
        <w:spacing w:line="540" w:lineRule="exact"/>
        <w:ind w:firstLine="640"/>
        <w:rPr>
          <w:rFonts w:eastAsia="方正仿宋_GBK"/>
          <w:b/>
          <w:bCs/>
          <w:color w:val="FF0000"/>
        </w:rPr>
      </w:pPr>
    </w:p>
    <w:p>
      <w:pPr>
        <w:topLinePunct/>
        <w:spacing w:line="540" w:lineRule="exact"/>
        <w:ind w:firstLine="632" w:firstLineChars="200"/>
        <w:outlineLvl w:val="1"/>
        <w:rPr>
          <w:rFonts w:ascii="方正黑体_GBK" w:eastAsia="方正黑体_GBK"/>
          <w:color w:val="000000"/>
        </w:rPr>
      </w:pPr>
      <w:bookmarkStart w:id="46" w:name="_Toc15377215"/>
      <w:bookmarkStart w:id="47" w:name="_Toc143699695"/>
      <w:bookmarkStart w:id="48" w:name="_Toc144134981"/>
      <w:bookmarkStart w:id="49" w:name="_Toc15377218"/>
      <w:r>
        <w:rPr>
          <w:rFonts w:ascii="方正黑体_GBK" w:eastAsia="方正黑体_GBK"/>
          <w:color w:val="000000"/>
        </w:rPr>
        <w:t>七、财政拨款</w:t>
      </w:r>
      <w:r>
        <w:rPr>
          <w:rFonts w:ascii="方正黑体_GBK" w:eastAsia="方正黑体_GBK"/>
          <w:b/>
          <w:bCs/>
          <w:color w:val="000000"/>
        </w:rPr>
        <w:t>“</w:t>
      </w:r>
      <w:r>
        <w:rPr>
          <w:rFonts w:ascii="方正黑体_GBK" w:eastAsia="方正黑体_GBK"/>
          <w:color w:val="000000"/>
        </w:rPr>
        <w:t>三公”经费支出决算情况说明</w:t>
      </w:r>
      <w:bookmarkEnd w:id="46"/>
      <w:bookmarkEnd w:id="47"/>
      <w:bookmarkEnd w:id="48"/>
    </w:p>
    <w:p>
      <w:pPr>
        <w:topLinePunct/>
        <w:spacing w:line="540" w:lineRule="exact"/>
        <w:ind w:firstLine="640"/>
        <w:outlineLvl w:val="2"/>
        <w:rPr>
          <w:rFonts w:ascii="方正楷体_GBK" w:eastAsia="方正楷体_GBK"/>
          <w:bCs/>
          <w:color w:val="000000"/>
        </w:rPr>
      </w:pPr>
      <w:bookmarkStart w:id="50" w:name="_Toc15377216"/>
      <w:r>
        <w:rPr>
          <w:rFonts w:hint="eastAsia" w:ascii="方正楷体_GBK" w:eastAsia="方正楷体_GBK"/>
          <w:bCs/>
          <w:color w:val="000000"/>
        </w:rPr>
        <w:t>（一）“三公”经费财政拨款支出决算总体情况说明</w:t>
      </w:r>
      <w:bookmarkEnd w:id="50"/>
    </w:p>
    <w:p>
      <w:pPr>
        <w:topLinePunct/>
        <w:spacing w:line="540" w:lineRule="exact"/>
        <w:ind w:firstLine="645"/>
        <w:rPr>
          <w:rFonts w:hint="eastAsia" w:ascii="方正仿宋_GBK" w:eastAsia="方正仿宋_GBK"/>
          <w:color w:val="000000" w:themeColor="text1"/>
        </w:rPr>
      </w:pPr>
      <w:r>
        <w:rPr>
          <w:rFonts w:hint="eastAsia" w:ascii="方正仿宋_GBK" w:eastAsia="方正仿宋_GBK"/>
          <w:color w:val="000000" w:themeColor="text1"/>
          <w:lang w:val="en-US" w:eastAsia="zh-CN"/>
        </w:rPr>
        <w:t>本单位2022年无</w:t>
      </w:r>
      <w:r>
        <w:rPr>
          <w:rFonts w:hint="eastAsia" w:ascii="方正仿宋_GBK" w:eastAsia="方正仿宋_GBK"/>
          <w:color w:val="000000"/>
        </w:rPr>
        <w:t>“三公”</w:t>
      </w:r>
      <w:r>
        <w:rPr>
          <w:rFonts w:hint="eastAsia" w:ascii="方正仿宋_GBK" w:eastAsia="方正仿宋_GBK"/>
          <w:color w:val="000000" w:themeColor="text1"/>
          <w:lang w:val="en-US" w:eastAsia="zh-CN"/>
        </w:rPr>
        <w:t>经费财政拨款支出，与上年持平</w:t>
      </w:r>
      <w:r>
        <w:rPr>
          <w:rFonts w:hint="eastAsia" w:ascii="方正仿宋_GBK" w:eastAsia="方正仿宋_GBK"/>
          <w:color w:val="000000" w:themeColor="text1"/>
          <w:lang w:eastAsia="zh-CN"/>
        </w:rPr>
        <w:t>。</w:t>
      </w:r>
    </w:p>
    <w:p>
      <w:pPr>
        <w:topLinePunct/>
        <w:spacing w:line="540" w:lineRule="exact"/>
        <w:ind w:firstLine="640"/>
        <w:outlineLvl w:val="2"/>
        <w:rPr>
          <w:rFonts w:ascii="方正楷体_GBK" w:eastAsia="方正楷体_GBK"/>
          <w:bCs/>
          <w:color w:val="000000"/>
        </w:rPr>
      </w:pPr>
      <w:bookmarkStart w:id="51" w:name="_Toc15377217"/>
      <w:r>
        <w:rPr>
          <w:rFonts w:ascii="方正楷体_GBK" w:eastAsia="方正楷体_GBK"/>
          <w:bCs/>
          <w:color w:val="000000"/>
        </w:rPr>
        <w:t>（二）“三公”经费财政拨款支出决算具体情况说明</w:t>
      </w:r>
      <w:bookmarkEnd w:id="51"/>
    </w:p>
    <w:p>
      <w:pPr>
        <w:topLinePunct/>
        <w:spacing w:line="540" w:lineRule="exact"/>
        <w:ind w:firstLine="645"/>
        <w:rPr>
          <w:rFonts w:hint="eastAsia" w:ascii="方正仿宋_GBK" w:eastAsia="方正仿宋_GBK"/>
          <w:color w:val="000000" w:themeColor="text1"/>
          <w:lang w:val="en-US" w:eastAsia="zh-CN"/>
        </w:rPr>
      </w:pPr>
      <w:r>
        <w:rPr>
          <w:rFonts w:hint="eastAsia" w:ascii="方正仿宋_GBK" w:eastAsia="方正仿宋_GBK"/>
          <w:color w:val="000000" w:themeColor="text1"/>
          <w:lang w:val="en-US" w:eastAsia="zh-CN"/>
        </w:rPr>
        <w:t>本单位2022年无三公经费财政拨款支出，与上年持平。</w:t>
      </w:r>
    </w:p>
    <w:p>
      <w:pPr>
        <w:topLinePunct/>
        <w:spacing w:line="540" w:lineRule="exact"/>
        <w:ind w:firstLine="645"/>
        <w:rPr>
          <w:rFonts w:hint="eastAsia" w:ascii="方正仿宋_GBK" w:eastAsia="方正仿宋_GBK"/>
          <w:color w:val="000000" w:themeColor="text1"/>
          <w:lang w:val="en-US" w:eastAsia="zh-CN"/>
        </w:rPr>
      </w:pPr>
      <w:r>
        <w:rPr>
          <w:rFonts w:hint="eastAsia" w:ascii="方正仿宋_GBK" w:eastAsia="方正仿宋_GBK"/>
          <w:color w:val="000000" w:themeColor="text1"/>
          <w:lang w:val="en-US" w:eastAsia="zh-CN"/>
        </w:rPr>
        <w:t xml:space="preserve">1、2022年本单位无因公出国（境）经费支出。 </w:t>
      </w:r>
    </w:p>
    <w:p>
      <w:pPr>
        <w:topLinePunct/>
        <w:spacing w:line="540" w:lineRule="exact"/>
        <w:ind w:firstLine="645"/>
        <w:rPr>
          <w:rFonts w:hint="eastAsia" w:ascii="方正仿宋_GBK" w:eastAsia="方正仿宋_GBK"/>
          <w:color w:val="000000" w:themeColor="text1"/>
          <w:lang w:val="en-US" w:eastAsia="zh-CN"/>
        </w:rPr>
      </w:pPr>
      <w:r>
        <w:rPr>
          <w:rFonts w:hint="eastAsia" w:ascii="方正仿宋_GBK" w:eastAsia="方正仿宋_GBK"/>
          <w:color w:val="000000" w:themeColor="text1"/>
          <w:lang w:val="en-US" w:eastAsia="zh-CN"/>
        </w:rPr>
        <w:t>2、2022年本单位无公务用车购置及运行维护费支出。</w:t>
      </w:r>
    </w:p>
    <w:p>
      <w:pPr>
        <w:topLinePunct/>
        <w:spacing w:line="540" w:lineRule="exact"/>
        <w:ind w:firstLine="645"/>
        <w:rPr>
          <w:rFonts w:hint="eastAsia" w:ascii="方正仿宋_GBK" w:eastAsia="方正仿宋_GBK"/>
          <w:color w:val="000000" w:themeColor="text1"/>
          <w:lang w:val="en-US" w:eastAsia="zh-CN"/>
        </w:rPr>
      </w:pPr>
      <w:r>
        <w:rPr>
          <w:rFonts w:hint="eastAsia" w:ascii="方正仿宋_GBK" w:eastAsia="方正仿宋_GBK"/>
          <w:color w:val="000000" w:themeColor="text1"/>
          <w:lang w:val="en-US" w:eastAsia="zh-CN"/>
        </w:rPr>
        <w:t>3、2022年本单位无公务接待费支出。</w:t>
      </w:r>
    </w:p>
    <w:p>
      <w:pPr>
        <w:spacing w:line="600" w:lineRule="exact"/>
        <w:rPr>
          <w:rFonts w:eastAsia="方正仿宋_GBK"/>
          <w:color w:val="000000"/>
        </w:rPr>
      </w:pPr>
    </w:p>
    <w:p>
      <w:pPr>
        <w:topLinePunct/>
        <w:spacing w:line="540" w:lineRule="exact"/>
        <w:ind w:firstLine="640"/>
        <w:outlineLvl w:val="1"/>
        <w:rPr>
          <w:rStyle w:val="28"/>
          <w:rFonts w:ascii="方正黑体_GBK" w:hAnsi="Times New Roman" w:eastAsia="方正黑体_GBK" w:cs="Times New Roman"/>
        </w:rPr>
      </w:pPr>
      <w:bookmarkStart w:id="52" w:name="_Toc144134982"/>
      <w:r>
        <w:rPr>
          <w:rFonts w:hint="eastAsia" w:ascii="方正黑体_GBK" w:eastAsia="方正黑体_GBK"/>
          <w:color w:val="000000"/>
        </w:rPr>
        <w:t>八、</w:t>
      </w:r>
      <w:r>
        <w:rPr>
          <w:rStyle w:val="28"/>
          <w:rFonts w:hint="eastAsia" w:ascii="方正黑体_GBK" w:hAnsi="Times New Roman" w:eastAsia="方正黑体_GBK" w:cs="Times New Roman"/>
          <w:b w:val="0"/>
          <w:bCs w:val="0"/>
        </w:rPr>
        <w:t>政府性基金预算支出决算情况说明</w:t>
      </w:r>
      <w:bookmarkEnd w:id="49"/>
      <w:bookmarkEnd w:id="52"/>
    </w:p>
    <w:p>
      <w:pPr>
        <w:topLinePunct/>
        <w:spacing w:line="540" w:lineRule="exact"/>
        <w:ind w:firstLine="640"/>
        <w:rPr>
          <w:rFonts w:hint="eastAsia" w:eastAsia="方正仿宋_GBK"/>
          <w:color w:val="000000"/>
          <w:lang w:val="en-US" w:eastAsia="zh-CN"/>
        </w:rPr>
      </w:pPr>
      <w:r>
        <w:rPr>
          <w:rFonts w:hint="eastAsia" w:eastAsia="方正仿宋_GBK"/>
          <w:color w:val="000000"/>
          <w:lang w:val="en-US" w:eastAsia="zh-CN"/>
        </w:rPr>
        <w:t>2022年本单位无政府性基金预算财政拨款支出。</w:t>
      </w:r>
    </w:p>
    <w:p>
      <w:pPr>
        <w:topLinePunct/>
        <w:spacing w:line="540" w:lineRule="exact"/>
        <w:ind w:firstLine="640"/>
        <w:rPr>
          <w:rFonts w:hint="eastAsia" w:eastAsia="方正仿宋_GBK"/>
          <w:color w:val="000000"/>
          <w:lang w:val="en-US" w:eastAsia="zh-CN"/>
        </w:rPr>
      </w:pPr>
    </w:p>
    <w:p>
      <w:pPr>
        <w:topLinePunct/>
        <w:spacing w:line="540" w:lineRule="exact"/>
        <w:ind w:firstLine="640"/>
        <w:outlineLvl w:val="1"/>
        <w:rPr>
          <w:rFonts w:hint="eastAsia" w:ascii="方正黑体_GBK" w:eastAsia="方正黑体_GBK"/>
          <w:color w:val="000000"/>
        </w:rPr>
      </w:pPr>
      <w:bookmarkStart w:id="53" w:name="_Toc144134983"/>
      <w:bookmarkStart w:id="54" w:name="_Toc15377219"/>
    </w:p>
    <w:p>
      <w:pPr>
        <w:topLinePunct/>
        <w:spacing w:line="540" w:lineRule="exact"/>
        <w:ind w:firstLine="640"/>
        <w:outlineLvl w:val="1"/>
        <w:rPr>
          <w:rFonts w:ascii="方正黑体_GBK" w:eastAsia="方正黑体_GBK"/>
          <w:color w:val="000000"/>
        </w:rPr>
      </w:pPr>
      <w:r>
        <w:rPr>
          <w:rFonts w:hint="eastAsia" w:ascii="方正黑体_GBK" w:eastAsia="方正黑体_GBK"/>
          <w:color w:val="000000"/>
        </w:rPr>
        <w:t>九、</w:t>
      </w:r>
      <w:r>
        <w:rPr>
          <w:rFonts w:ascii="方正黑体_GBK" w:eastAsia="方正黑体_GBK"/>
          <w:color w:val="000000"/>
        </w:rPr>
        <w:t>国有资本经营预算支出决算情况说明</w:t>
      </w:r>
      <w:bookmarkEnd w:id="53"/>
      <w:bookmarkEnd w:id="54"/>
    </w:p>
    <w:p>
      <w:pPr>
        <w:topLinePunct/>
        <w:spacing w:line="540" w:lineRule="exact"/>
        <w:ind w:firstLine="640"/>
        <w:rPr>
          <w:rFonts w:hint="eastAsia" w:eastAsia="方正仿宋_GBK"/>
          <w:color w:val="000000"/>
          <w:lang w:eastAsia="zh-CN"/>
        </w:rPr>
      </w:pPr>
      <w:r>
        <w:rPr>
          <w:rFonts w:hint="eastAsia" w:eastAsia="方正仿宋_GBK"/>
          <w:color w:val="000000"/>
        </w:rPr>
        <w:t>2022年</w:t>
      </w:r>
      <w:r>
        <w:rPr>
          <w:rFonts w:hint="eastAsia" w:eastAsia="方正仿宋_GBK"/>
          <w:color w:val="000000"/>
          <w:lang w:eastAsia="zh-CN"/>
        </w:rPr>
        <w:t>本单位无国有资本经营预算财政拨款支出。</w:t>
      </w:r>
    </w:p>
    <w:p>
      <w:pPr>
        <w:topLinePunct/>
        <w:spacing w:line="540" w:lineRule="exact"/>
        <w:ind w:firstLine="640"/>
        <w:rPr>
          <w:rFonts w:hint="eastAsia" w:eastAsia="方正仿宋_GBK"/>
          <w:color w:val="000000"/>
          <w:lang w:eastAsia="zh-CN"/>
        </w:rPr>
      </w:pPr>
    </w:p>
    <w:p>
      <w:pPr>
        <w:topLinePunct/>
        <w:spacing w:line="540" w:lineRule="exact"/>
        <w:ind w:firstLine="640"/>
        <w:outlineLvl w:val="1"/>
        <w:rPr>
          <w:rFonts w:ascii="方正黑体_GBK" w:eastAsia="方正黑体_GBK"/>
          <w:color w:val="000000"/>
        </w:rPr>
      </w:pPr>
      <w:bookmarkStart w:id="55" w:name="_Toc144134984"/>
      <w:bookmarkStart w:id="56" w:name="_Toc50044890"/>
      <w:r>
        <w:rPr>
          <w:rFonts w:hint="eastAsia" w:ascii="方正黑体_GBK" w:eastAsia="方正黑体_GBK"/>
          <w:color w:val="000000"/>
        </w:rPr>
        <w:t>十、预算绩效管理情况说明</w:t>
      </w:r>
      <w:bookmarkEnd w:id="55"/>
      <w:bookmarkEnd w:id="56"/>
    </w:p>
    <w:p>
      <w:pPr>
        <w:topLinePunct/>
        <w:spacing w:line="540" w:lineRule="exact"/>
        <w:ind w:firstLine="632" w:firstLineChars="200"/>
        <w:outlineLvl w:val="2"/>
        <w:rPr>
          <w:rFonts w:ascii="方正楷体_GBK" w:eastAsia="方正楷体_GBK"/>
          <w:bCs/>
          <w:color w:val="000000"/>
        </w:rPr>
      </w:pPr>
      <w:r>
        <w:rPr>
          <w:rFonts w:hint="eastAsia" w:ascii="方正楷体_GBK" w:eastAsia="方正楷体_GBK"/>
          <w:bCs/>
          <w:color w:val="000000"/>
        </w:rPr>
        <w:t>（一）预算绩效管理工作开展情况</w:t>
      </w:r>
    </w:p>
    <w:p>
      <w:pPr>
        <w:topLinePunct/>
        <w:spacing w:line="540" w:lineRule="exact"/>
        <w:ind w:firstLine="632" w:firstLineChars="200"/>
        <w:rPr>
          <w:rFonts w:hint="eastAsia" w:eastAsia="方正仿宋_GBK"/>
          <w:color w:val="000000"/>
          <w:lang w:val="en-US" w:eastAsia="zh-CN"/>
        </w:rPr>
      </w:pPr>
      <w:r>
        <w:rPr>
          <w:rFonts w:hint="eastAsia" w:eastAsia="方正仿宋_GBK"/>
          <w:color w:val="000000"/>
          <w:lang w:val="en-US" w:eastAsia="zh-CN"/>
        </w:rPr>
        <w:t>根据预算绩效管理要求，本单位在2022年预算编制阶段，组织对成都儿童专科医院事业支出</w:t>
      </w:r>
      <w:r>
        <w:rPr>
          <w:rFonts w:hint="eastAsia" w:eastAsia="方正仿宋_GBK"/>
          <w:color w:val="000000"/>
        </w:rPr>
        <w:t>开展了预算事前绩效评估，</w:t>
      </w:r>
      <w:r>
        <w:rPr>
          <w:rFonts w:hint="eastAsia" w:eastAsia="方正仿宋_GBK"/>
          <w:color w:val="000000"/>
          <w:lang w:eastAsia="zh-CN"/>
        </w:rPr>
        <w:t>对</w:t>
      </w:r>
      <w:r>
        <w:rPr>
          <w:rFonts w:hint="eastAsia" w:eastAsia="方正仿宋_GBK"/>
          <w:color w:val="000000"/>
          <w:lang w:val="en-US" w:eastAsia="zh-CN"/>
        </w:rPr>
        <w:t>1个特定目标类项目编制了绩效目标；</w:t>
      </w:r>
      <w:r>
        <w:rPr>
          <w:rFonts w:hint="eastAsia" w:eastAsia="方正仿宋_GBK"/>
          <w:color w:val="000000"/>
        </w:rPr>
        <w:t>在2022年预算执行过程中，</w:t>
      </w:r>
      <w:r>
        <w:rPr>
          <w:rFonts w:hint="eastAsia" w:eastAsia="方正仿宋_GBK"/>
          <w:color w:val="000000"/>
          <w:lang w:val="en-US" w:eastAsia="zh-CN"/>
        </w:rPr>
        <w:t>对13个特定目标类项目开展绩效监控；</w:t>
      </w:r>
      <w:r>
        <w:rPr>
          <w:rFonts w:hint="eastAsia" w:eastAsia="方正仿宋_GBK"/>
          <w:color w:val="000000"/>
        </w:rPr>
        <w:t>2</w:t>
      </w:r>
      <w:r>
        <w:rPr>
          <w:rFonts w:eastAsia="方正仿宋_GBK"/>
          <w:color w:val="000000"/>
        </w:rPr>
        <w:t>022</w:t>
      </w:r>
      <w:r>
        <w:rPr>
          <w:rFonts w:hint="eastAsia" w:eastAsia="方正仿宋_GBK"/>
          <w:color w:val="000000"/>
        </w:rPr>
        <w:t>年终执行完毕后，</w:t>
      </w:r>
      <w:r>
        <w:rPr>
          <w:rFonts w:hint="eastAsia" w:eastAsia="方正仿宋_GBK"/>
          <w:color w:val="000000"/>
          <w:lang w:val="en-US" w:eastAsia="zh-CN"/>
        </w:rPr>
        <w:t>对 19个特定目标类项目开展了绩效自评。</w:t>
      </w:r>
    </w:p>
    <w:p>
      <w:pPr>
        <w:topLinePunct/>
        <w:spacing w:line="540" w:lineRule="exact"/>
        <w:ind w:firstLine="632" w:firstLineChars="200"/>
        <w:outlineLvl w:val="2"/>
        <w:rPr>
          <w:rFonts w:ascii="方正楷体_GBK" w:eastAsia="方正楷体_GBK"/>
          <w:bCs/>
          <w:color w:val="000000"/>
        </w:rPr>
      </w:pPr>
      <w:r>
        <w:rPr>
          <w:rFonts w:ascii="方正楷体_GBK" w:eastAsia="方正楷体_GBK"/>
          <w:bCs/>
          <w:color w:val="000000"/>
        </w:rPr>
        <w:t>（二）绩效自评</w:t>
      </w:r>
      <w:r>
        <w:rPr>
          <w:rFonts w:hint="eastAsia" w:ascii="方正楷体_GBK" w:eastAsia="方正楷体_GBK"/>
          <w:bCs/>
          <w:color w:val="000000"/>
        </w:rPr>
        <w:t>结果</w:t>
      </w:r>
    </w:p>
    <w:p>
      <w:pPr>
        <w:topLinePunct/>
        <w:spacing w:line="540" w:lineRule="exact"/>
        <w:ind w:firstLine="632" w:firstLineChars="200"/>
        <w:outlineLvl w:val="2"/>
        <w:rPr>
          <w:rFonts w:eastAsia="方正仿宋_GBK"/>
          <w:color w:val="000000"/>
        </w:rPr>
      </w:pPr>
      <w:r>
        <w:rPr>
          <w:rFonts w:hint="eastAsia" w:eastAsia="方正仿宋_GBK"/>
          <w:color w:val="000000"/>
        </w:rPr>
        <w:t>本单位在2022年度部门决算中反映</w:t>
      </w:r>
      <w:r>
        <w:rPr>
          <w:rFonts w:hint="eastAsia" w:eastAsia="方正仿宋_GBK"/>
          <w:color w:val="000000"/>
          <w:lang w:eastAsia="zh-CN"/>
        </w:rPr>
        <w:t>“</w:t>
      </w:r>
      <w:r>
        <w:rPr>
          <w:rFonts w:hint="eastAsia" w:eastAsia="方正仿宋_GBK"/>
          <w:color w:val="000000"/>
        </w:rPr>
        <w:t>基层党建工作经费”</w:t>
      </w:r>
      <w:r>
        <w:rPr>
          <w:rFonts w:hint="eastAsia" w:eastAsia="方正仿宋_GBK"/>
          <w:color w:val="000000"/>
          <w:lang w:eastAsia="zh-CN"/>
        </w:rPr>
        <w:t>”</w:t>
      </w:r>
      <w:r>
        <w:rPr>
          <w:rFonts w:hint="eastAsia" w:eastAsia="方正仿宋_GBK"/>
          <w:color w:val="000000"/>
        </w:rPr>
        <w:t>卫生应急及医疗保障专项”“基本公共卫生服务项目经费”</w:t>
      </w:r>
      <w:r>
        <w:rPr>
          <w:rFonts w:hint="eastAsia" w:eastAsia="方正仿宋_GBK"/>
          <w:color w:val="000000"/>
          <w:lang w:eastAsia="zh-CN"/>
        </w:rPr>
        <w:t>“区属公立医疗机构综合补助”“新冠疫情常态化防控预算经费”“医联体建设专项补助”“医疗机构儿科门、急诊专项补助”“县级公立医院取消药品加成补助”“医疗服务质量提升及重点专科建设工作经费”“成都儿童专科医院事业支出”“重大公共卫生服务（市级补助）”“公立医院综合改革（中央直达）”“基本公共卫生服务项目经费（市级补助）”“基本公共卫生服务（平移）（中央直达）”“重大公共卫生服务（中央补助）”“核增2021年一次性绩效工资总量补助”“2022年医疗卫生岗志愿者待遇经费”“区属公立医疗机构及改制医院退休人员2021年度一次性生活补贴”“监护型负压救护车车辆采购经费”</w:t>
      </w:r>
      <w:r>
        <w:rPr>
          <w:rFonts w:hint="eastAsia" w:eastAsia="方正仿宋_GBK"/>
          <w:color w:val="000000"/>
        </w:rPr>
        <w:t>等</w:t>
      </w:r>
      <w:r>
        <w:rPr>
          <w:rFonts w:hint="eastAsia" w:eastAsia="方正仿宋_GBK"/>
          <w:color w:val="000000"/>
          <w:lang w:val="en-US" w:eastAsia="zh-CN"/>
        </w:rPr>
        <w:t>19</w:t>
      </w:r>
      <w:r>
        <w:rPr>
          <w:rFonts w:hint="eastAsia" w:eastAsia="方正仿宋_GBK"/>
          <w:color w:val="000000"/>
        </w:rPr>
        <w:t>个特定目标类项目绩效自评情况。</w:t>
      </w:r>
      <w:r>
        <w:rPr>
          <w:rFonts w:hint="eastAsia" w:eastAsia="方正仿宋_GBK"/>
          <w:color w:val="000000"/>
          <w:lang w:val="en-US" w:eastAsia="zh-CN"/>
        </w:rPr>
        <w:t>19</w:t>
      </w:r>
      <w:r>
        <w:rPr>
          <w:rFonts w:hint="eastAsia" w:eastAsia="方正仿宋_GBK"/>
          <w:color w:val="000000"/>
        </w:rPr>
        <w:t>个特定目标类项目绩效自评平均得分</w:t>
      </w:r>
      <w:r>
        <w:rPr>
          <w:rFonts w:hint="eastAsia" w:eastAsia="方正仿宋_GBK"/>
          <w:color w:val="000000"/>
          <w:lang w:val="en-US" w:eastAsia="zh-CN"/>
        </w:rPr>
        <w:t>95.74</w:t>
      </w:r>
      <w:r>
        <w:rPr>
          <w:rFonts w:hint="eastAsia" w:eastAsia="方正仿宋_GBK"/>
          <w:color w:val="000000"/>
        </w:rPr>
        <w:t>分，其中，最高</w:t>
      </w:r>
      <w:r>
        <w:rPr>
          <w:rFonts w:hint="eastAsia" w:eastAsia="方正仿宋_GBK"/>
          <w:color w:val="000000"/>
          <w:lang w:val="en-US" w:eastAsia="zh-CN"/>
        </w:rPr>
        <w:t>99.75</w:t>
      </w:r>
      <w:r>
        <w:rPr>
          <w:rFonts w:hint="eastAsia" w:eastAsia="方正仿宋_GBK"/>
          <w:color w:val="000000"/>
        </w:rPr>
        <w:t>分，为卫生应急及医疗保障专项项目；最低</w:t>
      </w:r>
      <w:r>
        <w:rPr>
          <w:rFonts w:hint="eastAsia" w:eastAsia="方正仿宋_GBK"/>
          <w:color w:val="000000"/>
          <w:lang w:val="en-US" w:eastAsia="zh-CN"/>
        </w:rPr>
        <w:t>84.8</w:t>
      </w:r>
      <w:r>
        <w:rPr>
          <w:rFonts w:hint="eastAsia" w:eastAsia="方正仿宋_GBK"/>
          <w:color w:val="000000"/>
        </w:rPr>
        <w:t>分，为区属公立医疗机构综合补助项目。</w:t>
      </w:r>
    </w:p>
    <w:p>
      <w:pPr>
        <w:topLinePunct/>
        <w:spacing w:line="540" w:lineRule="exact"/>
        <w:ind w:firstLine="632" w:firstLineChars="200"/>
        <w:outlineLvl w:val="2"/>
        <w:rPr>
          <w:rFonts w:eastAsia="方正仿宋_GBK"/>
          <w:color w:val="000000"/>
        </w:rPr>
      </w:pPr>
      <w:r>
        <w:rPr>
          <w:rFonts w:hint="eastAsia" w:eastAsia="方正仿宋_GBK"/>
          <w:color w:val="000000"/>
        </w:rPr>
        <w:t>《部门预算项目支出绩效自评表（2022年度）》（附件1）</w:t>
      </w:r>
    </w:p>
    <w:p>
      <w:pPr>
        <w:topLinePunct/>
        <w:rPr>
          <w:rFonts w:eastAsia="方正仿宋_GBK"/>
        </w:rPr>
      </w:pPr>
    </w:p>
    <w:p>
      <w:pPr>
        <w:topLinePunct/>
        <w:ind w:firstLine="632" w:firstLineChars="200"/>
        <w:outlineLvl w:val="1"/>
        <w:rPr>
          <w:rStyle w:val="28"/>
          <w:rFonts w:ascii="方正黑体_GBK" w:hAnsi="Times New Roman" w:eastAsia="方正黑体_GBK" w:cs="Times New Roman"/>
        </w:rPr>
      </w:pPr>
      <w:bookmarkStart w:id="57" w:name="_Toc15377221"/>
      <w:bookmarkStart w:id="58" w:name="_Toc144134985"/>
      <w:r>
        <w:rPr>
          <w:rFonts w:hint="eastAsia" w:ascii="方正黑体_GBK" w:eastAsia="方正黑体_GBK"/>
          <w:color w:val="000000"/>
        </w:rPr>
        <w:t>十一</w:t>
      </w:r>
      <w:r>
        <w:rPr>
          <w:rStyle w:val="28"/>
          <w:rFonts w:hint="eastAsia" w:ascii="方正黑体_GBK" w:hAnsi="Times New Roman" w:eastAsia="方正黑体_GBK" w:cs="Times New Roman"/>
        </w:rPr>
        <w:t>、</w:t>
      </w:r>
      <w:r>
        <w:rPr>
          <w:rStyle w:val="28"/>
          <w:rFonts w:hint="eastAsia" w:ascii="方正黑体_GBK" w:hAnsi="Times New Roman" w:eastAsia="方正黑体_GBK" w:cs="Times New Roman"/>
          <w:b w:val="0"/>
          <w:bCs w:val="0"/>
        </w:rPr>
        <w:t>其他重要事项的情况说明</w:t>
      </w:r>
      <w:bookmarkEnd w:id="57"/>
      <w:bookmarkEnd w:id="58"/>
    </w:p>
    <w:p>
      <w:pPr>
        <w:topLinePunct/>
        <w:ind w:firstLine="632" w:firstLineChars="200"/>
        <w:outlineLvl w:val="2"/>
        <w:rPr>
          <w:rFonts w:ascii="方正楷体_GBK" w:eastAsia="方正楷体_GBK"/>
          <w:bCs/>
          <w:color w:val="000000"/>
        </w:rPr>
      </w:pPr>
      <w:bookmarkStart w:id="59" w:name="_Toc15377222"/>
      <w:r>
        <w:rPr>
          <w:rFonts w:ascii="方正楷体_GBK" w:eastAsia="方正楷体_GBK"/>
          <w:bCs/>
          <w:color w:val="000000"/>
        </w:rPr>
        <w:t>（一）机关运行经费支出情况</w:t>
      </w:r>
      <w:bookmarkEnd w:id="59"/>
    </w:p>
    <w:p>
      <w:pPr>
        <w:spacing w:line="600" w:lineRule="exact"/>
        <w:ind w:firstLine="640"/>
        <w:rPr>
          <w:rFonts w:hint="eastAsia" w:eastAsia="方正仿宋_GBK"/>
          <w:color w:val="000000"/>
          <w:lang w:val="en-US" w:eastAsia="zh-CN"/>
        </w:rPr>
      </w:pPr>
      <w:r>
        <w:rPr>
          <w:rFonts w:eastAsia="方正仿宋_GBK"/>
          <w:color w:val="000000"/>
        </w:rPr>
        <w:t>2022年，</w:t>
      </w:r>
      <w:r>
        <w:rPr>
          <w:rFonts w:hint="eastAsia" w:eastAsia="方正仿宋_GBK"/>
          <w:color w:val="000000"/>
          <w:lang w:val="en-US" w:eastAsia="zh-CN"/>
        </w:rPr>
        <w:t>本单位机关运行经费支出0万元，与2021年决算数持平。</w:t>
      </w:r>
    </w:p>
    <w:p>
      <w:pPr>
        <w:topLinePunct/>
        <w:ind w:firstLine="632" w:firstLineChars="200"/>
        <w:outlineLvl w:val="2"/>
        <w:rPr>
          <w:rFonts w:ascii="方正楷体_GBK" w:eastAsia="方正楷体_GBK"/>
          <w:bCs/>
          <w:color w:val="000000"/>
        </w:rPr>
      </w:pPr>
      <w:bookmarkStart w:id="60" w:name="_Toc15377223"/>
      <w:r>
        <w:rPr>
          <w:rFonts w:ascii="方正楷体_GBK" w:eastAsia="方正楷体_GBK"/>
          <w:bCs/>
          <w:color w:val="000000"/>
        </w:rPr>
        <w:t>（二）政府采购支出情况</w:t>
      </w:r>
      <w:bookmarkEnd w:id="60"/>
    </w:p>
    <w:p>
      <w:pPr>
        <w:topLinePunct/>
        <w:ind w:firstLine="632" w:firstLineChars="200"/>
        <w:rPr>
          <w:rFonts w:eastAsia="方正仿宋_GBK"/>
          <w:color w:val="000000"/>
        </w:rPr>
      </w:pPr>
      <w:r>
        <w:rPr>
          <w:rFonts w:eastAsia="方正仿宋_GBK"/>
          <w:color w:val="000000"/>
        </w:rPr>
        <w:t>2022年，</w:t>
      </w:r>
      <w:r>
        <w:rPr>
          <w:rFonts w:hint="eastAsia" w:eastAsia="方正仿宋_GBK"/>
          <w:color w:val="000000"/>
          <w:lang w:eastAsia="zh-CN"/>
        </w:rPr>
        <w:t>本单位</w:t>
      </w:r>
      <w:r>
        <w:rPr>
          <w:rFonts w:eastAsia="方正仿宋_GBK"/>
          <w:color w:val="000000"/>
        </w:rPr>
        <w:t>政府采购支出总额</w:t>
      </w:r>
      <w:r>
        <w:rPr>
          <w:rFonts w:hint="eastAsia" w:eastAsia="方正仿宋_GBK"/>
          <w:color w:val="000000"/>
          <w:lang w:val="en-US" w:eastAsia="zh-CN"/>
        </w:rPr>
        <w:t>386.01</w:t>
      </w:r>
      <w:r>
        <w:rPr>
          <w:rFonts w:eastAsia="方正仿宋_GBK"/>
          <w:color w:val="000000"/>
        </w:rPr>
        <w:t>万元</w:t>
      </w:r>
      <w:r>
        <w:rPr>
          <w:rFonts w:hint="eastAsia" w:eastAsia="方正仿宋_GBK"/>
          <w:color w:val="000000"/>
        </w:rPr>
        <w:t>，</w:t>
      </w:r>
      <w:r>
        <w:rPr>
          <w:rFonts w:eastAsia="方正仿宋_GBK"/>
          <w:color w:val="000000"/>
        </w:rPr>
        <w:t>其中：政府采购货物支出</w:t>
      </w:r>
      <w:r>
        <w:rPr>
          <w:rFonts w:hint="eastAsia" w:eastAsia="方正仿宋_GBK"/>
          <w:color w:val="000000"/>
          <w:lang w:val="en-US" w:eastAsia="zh-CN"/>
        </w:rPr>
        <w:t>89.41</w:t>
      </w:r>
      <w:r>
        <w:rPr>
          <w:rFonts w:eastAsia="方正仿宋_GBK"/>
          <w:color w:val="000000"/>
        </w:rPr>
        <w:t>万元、政府采购工程支出</w:t>
      </w:r>
      <w:r>
        <w:rPr>
          <w:rFonts w:hint="eastAsia" w:eastAsia="方正仿宋_GBK"/>
          <w:color w:val="000000"/>
          <w:lang w:val="en-US" w:eastAsia="zh-CN"/>
        </w:rPr>
        <w:t>0</w:t>
      </w:r>
      <w:r>
        <w:rPr>
          <w:rFonts w:eastAsia="方正仿宋_GBK"/>
          <w:color w:val="000000"/>
        </w:rPr>
        <w:t>万元、政府采购服务支出</w:t>
      </w:r>
      <w:r>
        <w:rPr>
          <w:rFonts w:hint="eastAsia" w:eastAsia="方正仿宋_GBK"/>
          <w:color w:val="000000"/>
          <w:lang w:val="en-US" w:eastAsia="zh-CN"/>
        </w:rPr>
        <w:t>296.6</w:t>
      </w:r>
      <w:r>
        <w:rPr>
          <w:rFonts w:eastAsia="方正仿宋_GBK"/>
          <w:color w:val="000000"/>
        </w:rPr>
        <w:t>万元。主要用于</w:t>
      </w:r>
      <w:r>
        <w:rPr>
          <w:rFonts w:hint="eastAsia" w:eastAsia="方正仿宋_GBK"/>
          <w:color w:val="000000"/>
          <w:lang w:eastAsia="zh-CN"/>
        </w:rPr>
        <w:t>物业管理费</w:t>
      </w:r>
      <w:r>
        <w:rPr>
          <w:rFonts w:eastAsia="方正仿宋_GBK"/>
          <w:color w:val="000000"/>
        </w:rPr>
        <w:t>。授予中小企业合同金额</w:t>
      </w:r>
      <w:r>
        <w:rPr>
          <w:rFonts w:hint="eastAsia" w:eastAsia="方正仿宋_GBK"/>
          <w:color w:val="000000"/>
          <w:lang w:val="en-US" w:eastAsia="zh-CN"/>
        </w:rPr>
        <w:t>296.6</w:t>
      </w:r>
      <w:r>
        <w:rPr>
          <w:rFonts w:eastAsia="方正仿宋_GBK"/>
          <w:color w:val="000000"/>
        </w:rPr>
        <w:t>万元，占政府采购支出总额的</w:t>
      </w:r>
      <w:r>
        <w:rPr>
          <w:rFonts w:hint="eastAsia" w:eastAsia="方正仿宋_GBK"/>
          <w:color w:val="000000"/>
          <w:lang w:val="en-US" w:eastAsia="zh-CN"/>
        </w:rPr>
        <w:t>76.8</w:t>
      </w:r>
      <w:r>
        <w:rPr>
          <w:rFonts w:eastAsia="方正仿宋_GBK"/>
          <w:color w:val="000000"/>
        </w:rPr>
        <w:t>%，其中：授予小微企业合同金额</w:t>
      </w:r>
      <w:r>
        <w:rPr>
          <w:rFonts w:hint="eastAsia" w:eastAsia="方正仿宋_GBK"/>
          <w:color w:val="000000"/>
          <w:lang w:val="en-US" w:eastAsia="zh-CN"/>
        </w:rPr>
        <w:t>132.8</w:t>
      </w:r>
      <w:r>
        <w:rPr>
          <w:rFonts w:eastAsia="方正仿宋_GBK"/>
          <w:color w:val="000000"/>
        </w:rPr>
        <w:t>万元，占政府采购支出总额的</w:t>
      </w:r>
      <w:r>
        <w:rPr>
          <w:rFonts w:hint="eastAsia" w:eastAsia="方正仿宋_GBK"/>
          <w:color w:val="000000"/>
          <w:lang w:val="en-US" w:eastAsia="zh-CN"/>
        </w:rPr>
        <w:t>34.4</w:t>
      </w:r>
      <w:r>
        <w:rPr>
          <w:rFonts w:eastAsia="方正仿宋_GBK"/>
          <w:color w:val="000000"/>
        </w:rPr>
        <w:t>%。</w:t>
      </w:r>
    </w:p>
    <w:p>
      <w:pPr>
        <w:topLinePunct/>
        <w:ind w:firstLine="632" w:firstLineChars="200"/>
        <w:outlineLvl w:val="2"/>
        <w:rPr>
          <w:rFonts w:ascii="方正楷体_GBK" w:eastAsia="方正楷体_GBK"/>
          <w:bCs/>
          <w:color w:val="000000"/>
        </w:rPr>
      </w:pPr>
      <w:bookmarkStart w:id="61" w:name="_Toc15377224"/>
      <w:r>
        <w:rPr>
          <w:rFonts w:ascii="方正楷体_GBK" w:eastAsia="方正楷体_GBK"/>
          <w:bCs/>
          <w:color w:val="000000"/>
        </w:rPr>
        <w:t>（三）国有资产占有使用情况</w:t>
      </w:r>
      <w:bookmarkEnd w:id="61"/>
    </w:p>
    <w:p>
      <w:pPr>
        <w:topLinePunct/>
        <w:adjustRightInd w:val="0"/>
        <w:ind w:firstLine="632" w:firstLineChars="200"/>
        <w:jc w:val="left"/>
        <w:rPr>
          <w:rFonts w:eastAsia="方正仿宋_GBK"/>
          <w:color w:val="000000"/>
        </w:rPr>
      </w:pPr>
      <w:r>
        <w:rPr>
          <w:rFonts w:eastAsia="方正仿宋_GBK"/>
          <w:color w:val="000000"/>
        </w:rPr>
        <w:t>截至2022年12月31日，</w:t>
      </w:r>
      <w:r>
        <w:rPr>
          <w:rFonts w:hint="eastAsia" w:eastAsia="方正仿宋_GBK"/>
          <w:color w:val="000000"/>
          <w:lang w:eastAsia="zh-CN"/>
        </w:rPr>
        <w:t>本单位</w:t>
      </w:r>
      <w:r>
        <w:rPr>
          <w:rFonts w:eastAsia="方正仿宋_GBK"/>
          <w:color w:val="000000"/>
        </w:rPr>
        <w:t>共有车辆</w:t>
      </w:r>
      <w:r>
        <w:rPr>
          <w:rFonts w:hint="eastAsia" w:eastAsia="方正仿宋_GBK"/>
          <w:color w:val="000000"/>
          <w:lang w:val="en-US" w:eastAsia="zh-CN"/>
        </w:rPr>
        <w:t>6</w:t>
      </w:r>
      <w:r>
        <w:rPr>
          <w:rFonts w:eastAsia="方正仿宋_GBK"/>
          <w:color w:val="000000"/>
        </w:rPr>
        <w:t>辆，其中：应急保障用车</w:t>
      </w:r>
      <w:r>
        <w:rPr>
          <w:rFonts w:hint="eastAsia" w:eastAsia="方正仿宋_GBK"/>
          <w:color w:val="000000"/>
          <w:lang w:val="en-US" w:eastAsia="zh-CN"/>
        </w:rPr>
        <w:t>3</w:t>
      </w:r>
      <w:r>
        <w:rPr>
          <w:rFonts w:eastAsia="方正仿宋_GBK"/>
          <w:color w:val="000000"/>
        </w:rPr>
        <w:t>辆、特种专业技术用车</w:t>
      </w:r>
      <w:r>
        <w:rPr>
          <w:rFonts w:hint="eastAsia" w:eastAsia="方正仿宋_GBK"/>
          <w:color w:val="000000"/>
          <w:lang w:val="en-US" w:eastAsia="zh-CN"/>
        </w:rPr>
        <w:t>3</w:t>
      </w:r>
      <w:r>
        <w:rPr>
          <w:rFonts w:eastAsia="方正仿宋_GBK"/>
          <w:color w:val="000000"/>
        </w:rPr>
        <w:t>辆。</w:t>
      </w:r>
      <w:r>
        <w:rPr>
          <w:rFonts w:hint="eastAsia" w:eastAsia="方正仿宋_GBK"/>
          <w:color w:val="000000"/>
        </w:rPr>
        <w:t>单价100万元（含）以上设备</w:t>
      </w:r>
      <w:r>
        <w:rPr>
          <w:rFonts w:hint="eastAsia" w:eastAsia="方正仿宋_GBK"/>
          <w:color w:val="000000"/>
          <w:lang w:val="en-US" w:eastAsia="zh-CN"/>
        </w:rPr>
        <w:t>5</w:t>
      </w:r>
      <w:r>
        <w:rPr>
          <w:rFonts w:hint="eastAsia" w:eastAsia="方正仿宋_GBK"/>
          <w:color w:val="000000"/>
        </w:rPr>
        <w:t>台（套）。</w:t>
      </w:r>
    </w:p>
    <w:p>
      <w:pPr>
        <w:topLinePunct/>
        <w:ind w:firstLine="632" w:firstLineChars="200"/>
        <w:outlineLvl w:val="2"/>
        <w:rPr>
          <w:rFonts w:ascii="方正楷体_GBK" w:eastAsia="方正楷体_GBK"/>
          <w:bCs/>
          <w:color w:val="000000"/>
        </w:rPr>
      </w:pPr>
    </w:p>
    <w:p>
      <w:pPr>
        <w:pStyle w:val="2"/>
        <w:keepNext w:val="0"/>
        <w:keepLines w:val="0"/>
        <w:topLinePunct/>
        <w:spacing w:before="0" w:after="0" w:line="240" w:lineRule="auto"/>
        <w:jc w:val="center"/>
        <w:rPr>
          <w:rFonts w:eastAsia="方正黑体_GBK"/>
          <w:b w:val="0"/>
          <w:sz w:val="32"/>
          <w:szCs w:val="32"/>
        </w:rPr>
      </w:pPr>
      <w:bookmarkStart w:id="62" w:name="_Toc15377225"/>
      <w:r>
        <w:rPr>
          <w:rFonts w:eastAsia="方正黑体_GBK"/>
          <w:b w:val="0"/>
          <w:bCs w:val="0"/>
          <w:sz w:val="32"/>
          <w:szCs w:val="32"/>
        </w:rPr>
        <w:br w:type="page"/>
      </w:r>
      <w:bookmarkStart w:id="63" w:name="_Toc144134986"/>
      <w:r>
        <w:rPr>
          <w:rFonts w:hint="eastAsia" w:eastAsia="方正黑体_GBK"/>
          <w:b w:val="0"/>
          <w:bCs w:val="0"/>
          <w:sz w:val="32"/>
          <w:szCs w:val="32"/>
        </w:rPr>
        <w:t>第三部分</w:t>
      </w:r>
      <w:r>
        <w:rPr>
          <w:rFonts w:eastAsia="方正黑体_GBK"/>
          <w:b w:val="0"/>
          <w:bCs w:val="0"/>
          <w:sz w:val="32"/>
          <w:szCs w:val="32"/>
        </w:rPr>
        <w:t>名</w:t>
      </w:r>
      <w:r>
        <w:rPr>
          <w:rFonts w:eastAsia="方正黑体_GBK"/>
          <w:b w:val="0"/>
          <w:sz w:val="32"/>
          <w:szCs w:val="32"/>
        </w:rPr>
        <w:t>词解释</w:t>
      </w:r>
      <w:bookmarkEnd w:id="62"/>
      <w:bookmarkEnd w:id="63"/>
    </w:p>
    <w:p>
      <w:pPr>
        <w:topLinePunct/>
        <w:jc w:val="left"/>
        <w:rPr>
          <w:rFonts w:eastAsia="方正仿宋_GBK"/>
          <w:b/>
          <w:bCs/>
          <w:color w:val="000000"/>
        </w:rPr>
      </w:pP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1.财政拨款收入：指单位从同级财政部门取得的财政预算资金。</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2.事业收入：指事业单位开展专业业务活动及辅助活动取得的收入。如…（二级预算单位事业收入情况）等。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3.经营收入：指事业单位在专业业务活动及其辅助活动之外开展非独立核算经营活动取得的收入。如…（二级预算单位经营收入情况）等。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4.其他收入：指单位取得的除上述收入以外的各项收入。主要是…（收入类型）等。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5.使用非财政拨款结余：指事业单位使用以前年度积累的非财政拨款结余弥补当年收支差额的金额。</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6.年初结转和结余：指以前年度尚未完成、结转到本年按有关规定继续使用的资金。</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7.结余分配：指事业单位按照会计制度规定缴纳的所得税、提取的专用结余以及转入非财政拨款结余的金额等。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8、年末结转和结余：指单位按有关规定结转到下年或以后年度继续使用的资金。</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9、</w:t>
      </w:r>
      <w:r>
        <w:rPr>
          <w:rFonts w:hint="eastAsia" w:ascii="Times New Roman" w:hAnsi="Times New Roman" w:eastAsia="方正仿宋_GBK" w:cs="Times New Roman"/>
          <w:sz w:val="32"/>
          <w:szCs w:val="32"/>
          <w:lang w:eastAsia="zh-CN"/>
        </w:rPr>
        <w:t>卫生健康支出（类）卫生健康管理事务（款）</w:t>
      </w:r>
      <w:r>
        <w:rPr>
          <w:rFonts w:hint="eastAsia" w:ascii="Times New Roman" w:hAnsi="Times New Roman" w:eastAsia="方正仿宋_GBK" w:cs="Times New Roman"/>
          <w:sz w:val="32"/>
          <w:szCs w:val="32"/>
          <w:lang w:val="en-US" w:eastAsia="zh-CN"/>
        </w:rPr>
        <w:t>其他卫生健康管理事务支出（项）：指反映除行政运行、一般行政管理实务、机关服务以外其他用于卫生健康管理事务方面的支出。</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10、</w:t>
      </w:r>
      <w:r>
        <w:rPr>
          <w:rFonts w:hint="eastAsia" w:ascii="Times New Roman" w:hAnsi="Times New Roman" w:eastAsia="方正仿宋_GBK" w:cs="Times New Roman"/>
          <w:sz w:val="32"/>
          <w:szCs w:val="32"/>
          <w:lang w:eastAsia="zh-CN"/>
        </w:rPr>
        <w:t>卫生健康支出（类）公立医院（款）</w:t>
      </w:r>
      <w:r>
        <w:rPr>
          <w:rFonts w:hint="eastAsia" w:ascii="Times New Roman" w:hAnsi="Times New Roman" w:eastAsia="方正仿宋_GBK" w:cs="Times New Roman"/>
          <w:sz w:val="32"/>
          <w:szCs w:val="32"/>
          <w:lang w:val="en-US" w:eastAsia="zh-CN"/>
        </w:rPr>
        <w:t>儿童医院（项）：反映卫生健康、中医部门所属的专门从事儿童疾病治疗医院的支出。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11、</w:t>
      </w:r>
      <w:r>
        <w:rPr>
          <w:rFonts w:hint="eastAsia" w:ascii="Times New Roman" w:hAnsi="Times New Roman" w:eastAsia="方正仿宋_GBK" w:cs="Times New Roman"/>
          <w:sz w:val="32"/>
          <w:szCs w:val="32"/>
          <w:lang w:eastAsia="zh-CN"/>
        </w:rPr>
        <w:t>卫生健康支出（类）公立医院（款）</w:t>
      </w:r>
      <w:r>
        <w:rPr>
          <w:rFonts w:hint="eastAsia" w:ascii="Times New Roman" w:hAnsi="Times New Roman" w:eastAsia="方正仿宋_GBK" w:cs="Times New Roman"/>
          <w:sz w:val="32"/>
          <w:szCs w:val="32"/>
          <w:lang w:val="en-US" w:eastAsia="zh-CN"/>
        </w:rPr>
        <w:t>其他公立医院支出（项）：指反映除综合医院、中医（民族）医院、传染病医院、职业病防治医院、精神病医院、妇产医院、儿童医院、其他专科医院、福利医院、行业医院、处理医疗欠费以外的其他用于公立医院方面的支出。</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12、</w:t>
      </w:r>
      <w:r>
        <w:rPr>
          <w:rFonts w:hint="eastAsia" w:ascii="Times New Roman" w:hAnsi="Times New Roman" w:eastAsia="方正仿宋_GBK" w:cs="Times New Roman"/>
          <w:sz w:val="32"/>
          <w:szCs w:val="32"/>
          <w:lang w:eastAsia="zh-CN"/>
        </w:rPr>
        <w:t>卫生健康支出（类）公共卫生（款）</w:t>
      </w:r>
      <w:r>
        <w:rPr>
          <w:rFonts w:hint="eastAsia" w:ascii="Times New Roman" w:hAnsi="Times New Roman" w:eastAsia="方正仿宋_GBK" w:cs="Times New Roman"/>
          <w:sz w:val="32"/>
          <w:szCs w:val="32"/>
          <w:lang w:val="en-US" w:eastAsia="zh-CN"/>
        </w:rPr>
        <w:t>基本公共卫生服务（项）</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指反映基本公共卫生服务支出。</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13、</w:t>
      </w:r>
      <w:r>
        <w:rPr>
          <w:rFonts w:hint="eastAsia" w:ascii="Times New Roman" w:hAnsi="Times New Roman" w:eastAsia="方正仿宋_GBK" w:cs="Times New Roman"/>
          <w:sz w:val="32"/>
          <w:szCs w:val="32"/>
          <w:lang w:eastAsia="zh-CN"/>
        </w:rPr>
        <w:t>卫生健康支出（类）公共卫生（款）</w:t>
      </w:r>
      <w:r>
        <w:rPr>
          <w:rFonts w:hint="eastAsia" w:ascii="Times New Roman" w:hAnsi="Times New Roman" w:eastAsia="方正仿宋_GBK" w:cs="Times New Roman"/>
          <w:sz w:val="32"/>
          <w:szCs w:val="32"/>
          <w:lang w:val="en-US" w:eastAsia="zh-CN"/>
        </w:rPr>
        <w:t>重大公共卫生服务（项）</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指反映重大疾病预防防控等重大公共卫生服务项目支出。</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14、</w:t>
      </w:r>
      <w:r>
        <w:rPr>
          <w:rFonts w:hint="eastAsia" w:ascii="Times New Roman" w:hAnsi="Times New Roman" w:eastAsia="方正仿宋_GBK" w:cs="Times New Roman"/>
          <w:sz w:val="32"/>
          <w:szCs w:val="32"/>
          <w:lang w:eastAsia="zh-CN"/>
        </w:rPr>
        <w:t>卫生健康支出（类）公共卫生（款）</w:t>
      </w:r>
      <w:r>
        <w:rPr>
          <w:rFonts w:hint="eastAsia" w:ascii="Times New Roman" w:hAnsi="Times New Roman" w:eastAsia="方正仿宋_GBK" w:cs="Times New Roman"/>
          <w:sz w:val="32"/>
          <w:szCs w:val="32"/>
          <w:lang w:val="en-US" w:eastAsia="zh-CN"/>
        </w:rPr>
        <w:t>突发公共卫生事件应急处理（项）</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指反映用于突发公共卫生事件应急处理的支出。</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15、2101103</w:t>
      </w:r>
      <w:r>
        <w:rPr>
          <w:rFonts w:hint="eastAsia" w:ascii="Times New Roman" w:hAnsi="Times New Roman" w:eastAsia="方正仿宋_GBK" w:cs="Times New Roman"/>
          <w:sz w:val="32"/>
          <w:szCs w:val="32"/>
          <w:lang w:eastAsia="zh-CN"/>
        </w:rPr>
        <w:t>卫生健康支出（类）行政事业单位医疗（款）</w:t>
      </w:r>
      <w:r>
        <w:rPr>
          <w:rFonts w:hint="eastAsia" w:ascii="Times New Roman" w:hAnsi="Times New Roman" w:eastAsia="方正仿宋_GBK" w:cs="Times New Roman"/>
          <w:sz w:val="32"/>
          <w:szCs w:val="32"/>
          <w:lang w:val="en-US" w:eastAsia="zh-CN"/>
        </w:rPr>
        <w:t>公务员医疗补助（项）</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指反映财政部门安排的公务员医疗补助经费。</w:t>
      </w:r>
    </w:p>
    <w:p>
      <w:pPr>
        <w:pStyle w:val="40"/>
        <w:topLinePunct/>
        <w:autoSpaceDE/>
        <w:autoSpaceDN/>
        <w:spacing w:line="540" w:lineRule="exact"/>
        <w:ind w:firstLine="632" w:firstLineChars="200"/>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16、</w:t>
      </w:r>
      <w:r>
        <w:rPr>
          <w:rFonts w:hint="eastAsia" w:ascii="Times New Roman" w:hAnsi="Times New Roman" w:eastAsia="方正仿宋_GBK" w:cs="Times New Roman"/>
          <w:sz w:val="32"/>
          <w:szCs w:val="32"/>
          <w:lang w:eastAsia="zh-CN"/>
        </w:rPr>
        <w:t>卫生健康支出（类）其他卫生健康支出（款）</w:t>
      </w:r>
      <w:r>
        <w:rPr>
          <w:rFonts w:hint="eastAsia" w:ascii="Times New Roman" w:hAnsi="Times New Roman" w:eastAsia="方正仿宋_GBK" w:cs="Times New Roman"/>
          <w:sz w:val="32"/>
          <w:szCs w:val="32"/>
          <w:lang w:val="en-US" w:eastAsia="zh-CN"/>
        </w:rPr>
        <w:t>其他卫生健康支出（项）</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指反映除上述项目以外其他用于卫生健康方面的支出。</w:t>
      </w:r>
    </w:p>
    <w:p>
      <w:pPr>
        <w:topLinePunct/>
        <w:spacing w:line="540" w:lineRule="exact"/>
        <w:ind w:firstLine="632" w:firstLineChars="200"/>
        <w:rPr>
          <w:rFonts w:eastAsia="方正仿宋_GBK"/>
          <w:color w:val="000000"/>
        </w:rPr>
      </w:pPr>
      <w:r>
        <w:rPr>
          <w:rFonts w:hint="eastAsia" w:eastAsia="方正仿宋_GBK"/>
          <w:color w:val="000000"/>
          <w:lang w:val="en-US" w:eastAsia="zh-CN"/>
        </w:rPr>
        <w:t>17、</w:t>
      </w:r>
      <w:r>
        <w:rPr>
          <w:rFonts w:eastAsia="方正仿宋_GBK"/>
          <w:color w:val="000000"/>
        </w:rPr>
        <w:t>基本支出：指为保障机构正常运转、完成日常工作任务而发生的人员支出和公用支出。</w:t>
      </w:r>
    </w:p>
    <w:p>
      <w:pPr>
        <w:topLinePunct/>
        <w:spacing w:line="540" w:lineRule="exact"/>
        <w:ind w:firstLine="632" w:firstLineChars="200"/>
        <w:rPr>
          <w:rFonts w:eastAsia="方正仿宋_GBK"/>
          <w:color w:val="000000"/>
        </w:rPr>
      </w:pPr>
      <w:r>
        <w:rPr>
          <w:rFonts w:hint="eastAsia" w:eastAsia="方正仿宋_GBK"/>
          <w:color w:val="000000"/>
          <w:lang w:val="en-US" w:eastAsia="zh-CN"/>
        </w:rPr>
        <w:t>18、</w:t>
      </w:r>
      <w:r>
        <w:rPr>
          <w:rFonts w:eastAsia="方正仿宋_GBK"/>
          <w:color w:val="000000"/>
        </w:rPr>
        <w:t>项目支出：指在基本支出之外为完成特定行政任务和事业发展目标所发生的支出。</w:t>
      </w:r>
    </w:p>
    <w:p>
      <w:pPr>
        <w:topLinePunct/>
        <w:spacing w:line="540" w:lineRule="exact"/>
        <w:ind w:firstLine="632" w:firstLineChars="200"/>
        <w:rPr>
          <w:rFonts w:eastAsia="方正仿宋_GBK"/>
          <w:color w:val="000000"/>
        </w:rPr>
      </w:pPr>
      <w:r>
        <w:rPr>
          <w:rFonts w:hint="eastAsia" w:eastAsia="方正仿宋_GBK"/>
          <w:color w:val="000000"/>
          <w:lang w:val="en-US" w:eastAsia="zh-CN"/>
        </w:rPr>
        <w:t>19、</w:t>
      </w:r>
      <w:r>
        <w:rPr>
          <w:rFonts w:eastAsia="方正仿宋_GBK"/>
          <w:color w:val="000000"/>
        </w:rPr>
        <w:t>经营支出：指事业单位在专业业务活动及其辅助活动之外开展非独立核算经营活动发生的支出。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20、</w:t>
      </w:r>
      <w:r>
        <w:rPr>
          <w:rFonts w:ascii="Times New Roman" w:hAnsi="Times New Roman" w:eastAsia="方正仿宋_GBK" w:cs="Times New Roman"/>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21、</w:t>
      </w:r>
      <w:r>
        <w:rPr>
          <w:rFonts w:ascii="Times New Roman" w:hAnsi="Times New Roman" w:eastAsia="方正仿宋_GBK" w:cs="Times New Roman"/>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p>
    <w:p>
      <w:pPr>
        <w:topLinePunct/>
        <w:jc w:val="center"/>
        <w:outlineLvl w:val="0"/>
        <w:rPr>
          <w:rStyle w:val="26"/>
          <w:rFonts w:ascii="方正黑体_GBK" w:eastAsia="方正黑体_GBK"/>
          <w:b w:val="0"/>
          <w:bCs w:val="0"/>
          <w:sz w:val="32"/>
          <w:szCs w:val="32"/>
        </w:rPr>
      </w:pPr>
      <w:r>
        <w:rPr>
          <w:rFonts w:eastAsia="方正仿宋_GBK"/>
          <w:b/>
          <w:bCs/>
          <w:color w:val="000000"/>
        </w:rPr>
        <w:br w:type="page"/>
      </w:r>
      <w:bookmarkStart w:id="64" w:name="_Toc144134987"/>
      <w:r>
        <w:rPr>
          <w:rFonts w:hint="eastAsia" w:ascii="方正黑体_GBK" w:eastAsia="方正黑体_GBK"/>
          <w:color w:val="000000"/>
        </w:rPr>
        <w:t>第</w:t>
      </w:r>
      <w:r>
        <w:rPr>
          <w:rStyle w:val="26"/>
          <w:rFonts w:hint="eastAsia" w:ascii="方正黑体_GBK" w:eastAsia="方正黑体_GBK"/>
          <w:b w:val="0"/>
          <w:bCs w:val="0"/>
          <w:sz w:val="32"/>
          <w:szCs w:val="32"/>
        </w:rPr>
        <w:t>四部分附件</w:t>
      </w:r>
      <w:bookmarkEnd w:id="64"/>
    </w:p>
    <w:p>
      <w:pPr>
        <w:rPr>
          <w:rFonts w:hint="eastAsia" w:eastAsia="方正仿宋"/>
          <w:lang w:eastAsia="zh-CN"/>
        </w:rPr>
      </w:pPr>
      <w:r>
        <w:t>附件1</w:t>
      </w:r>
      <w:r>
        <w:rPr>
          <w:rFonts w:hint="eastAsia"/>
          <w:lang w:val="en-US" w:eastAsia="zh-CN"/>
        </w:rPr>
        <w:t>-1</w:t>
      </w:r>
    </w:p>
    <w:p>
      <w:pPr>
        <w:topLinePunct/>
        <w:rPr>
          <w:rFonts w:hint="eastAsia" w:eastAsia="方正仿宋_GBK"/>
          <w:color w:val="000000"/>
          <w:lang w:eastAsia="zh-CN"/>
        </w:rPr>
        <w:sectPr>
          <w:footerReference r:id="rId3" w:type="default"/>
          <w:footerReference r:id="rId4" w:type="even"/>
          <w:pgSz w:w="11906" w:h="16838"/>
          <w:pgMar w:top="2098" w:right="1531" w:bottom="1985" w:left="1531" w:header="709" w:footer="1418" w:gutter="0"/>
          <w:cols w:space="425" w:num="1"/>
          <w:docGrid w:type="linesAndChars" w:linePitch="579" w:charSpace="-849"/>
        </w:sectPr>
      </w:pPr>
      <w:r>
        <w:rPr>
          <w:rFonts w:hint="eastAsia" w:eastAsia="方正仿宋_GBK"/>
          <w:color w:val="000000"/>
          <w:lang w:eastAsia="zh-CN"/>
        </w:rPr>
        <w:drawing>
          <wp:inline distT="0" distB="0" distL="114300" distR="114300">
            <wp:extent cx="5609590" cy="6435090"/>
            <wp:effectExtent l="0" t="0" r="10160" b="3810"/>
            <wp:docPr id="5" name="图片 5" descr="部门预算项目支出绩效自评表_基层党建工作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部门预算项目支出绩效自评表_基层党建工作经费"/>
                    <pic:cNvPicPr>
                      <a:picLocks noChangeAspect="1"/>
                    </pic:cNvPicPr>
                  </pic:nvPicPr>
                  <pic:blipFill>
                    <a:blip r:embed="rId12"/>
                    <a:stretch>
                      <a:fillRect/>
                    </a:stretch>
                  </pic:blipFill>
                  <pic:spPr>
                    <a:xfrm>
                      <a:off x="0" y="0"/>
                      <a:ext cx="5609590" cy="6435090"/>
                    </a:xfrm>
                    <a:prstGeom prst="rect">
                      <a:avLst/>
                    </a:prstGeom>
                  </pic:spPr>
                </pic:pic>
              </a:graphicData>
            </a:graphic>
          </wp:inline>
        </w:drawing>
      </w:r>
    </w:p>
    <w:p>
      <w:pPr>
        <w:rPr>
          <w:rFonts w:hint="eastAsia" w:ascii="方正黑体_GBK" w:eastAsia="方正黑体_GBK"/>
          <w:color w:val="000000"/>
          <w:lang w:eastAsia="zh-CN"/>
        </w:rPr>
      </w:pPr>
      <w:bookmarkStart w:id="65" w:name="_Toc144134988"/>
      <w:r>
        <w:t>附件1</w:t>
      </w:r>
      <w:r>
        <w:rPr>
          <w:rFonts w:hint="eastAsia"/>
          <w:lang w:val="en-US" w:eastAsia="zh-CN"/>
        </w:rPr>
        <w:t>-2</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15305" cy="5820410"/>
            <wp:effectExtent l="0" t="0" r="4445" b="8890"/>
            <wp:docPr id="6" name="图片 6" descr="部门预算项目支出绩效自评表_卫生应急及医疗保障专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部门预算项目支出绩效自评表_卫生应急及医疗保障专项"/>
                    <pic:cNvPicPr>
                      <a:picLocks noChangeAspect="1"/>
                    </pic:cNvPicPr>
                  </pic:nvPicPr>
                  <pic:blipFill>
                    <a:blip r:embed="rId13"/>
                    <a:stretch>
                      <a:fillRect/>
                    </a:stretch>
                  </pic:blipFill>
                  <pic:spPr>
                    <a:xfrm>
                      <a:off x="0" y="0"/>
                      <a:ext cx="5615305" cy="5820410"/>
                    </a:xfrm>
                    <a:prstGeom prst="rect">
                      <a:avLst/>
                    </a:prstGeom>
                  </pic:spPr>
                </pic:pic>
              </a:graphicData>
            </a:graphic>
          </wp:inline>
        </w:drawing>
      </w:r>
    </w:p>
    <w:p>
      <w:pPr>
        <w:rPr>
          <w:rFonts w:hint="eastAsia" w:eastAsia="方正仿宋"/>
          <w:lang w:eastAsia="zh-CN"/>
        </w:rPr>
      </w:pPr>
      <w:r>
        <w:t>附件1</w:t>
      </w:r>
      <w:r>
        <w:rPr>
          <w:rFonts w:hint="eastAsia"/>
          <w:lang w:val="en-US" w:eastAsia="zh-CN"/>
        </w:rPr>
        <w:t>-3</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15305" cy="6671310"/>
            <wp:effectExtent l="0" t="0" r="4445" b="15240"/>
            <wp:docPr id="7" name="图片 7" descr="部门预算项目支出绩效自评表_基本公共卫生服务项目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部门预算项目支出绩效自评表_基本公共卫生服务项目经费"/>
                    <pic:cNvPicPr>
                      <a:picLocks noChangeAspect="1"/>
                    </pic:cNvPicPr>
                  </pic:nvPicPr>
                  <pic:blipFill>
                    <a:blip r:embed="rId14"/>
                    <a:stretch>
                      <a:fillRect/>
                    </a:stretch>
                  </pic:blipFill>
                  <pic:spPr>
                    <a:xfrm>
                      <a:off x="0" y="0"/>
                      <a:ext cx="5615305" cy="6671310"/>
                    </a:xfrm>
                    <a:prstGeom prst="rect">
                      <a:avLst/>
                    </a:prstGeom>
                  </pic:spPr>
                </pic:pic>
              </a:graphicData>
            </a:graphic>
          </wp:inline>
        </w:drawing>
      </w:r>
    </w:p>
    <w:p>
      <w:pPr>
        <w:rPr>
          <w:rFonts w:hint="default" w:eastAsia="方正仿宋"/>
          <w:lang w:val="en-US" w:eastAsia="zh-CN"/>
        </w:rPr>
      </w:pPr>
      <w:r>
        <w:t>附件1</w:t>
      </w:r>
      <w:r>
        <w:rPr>
          <w:rFonts w:hint="eastAsia"/>
          <w:lang w:val="en-US" w:eastAsia="zh-CN"/>
        </w:rPr>
        <w:t>-4</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10860" cy="5926455"/>
            <wp:effectExtent l="0" t="0" r="8890" b="17145"/>
            <wp:docPr id="8" name="图片 8" descr="部门预算项目支出绩效自评表_区属公立医疗机构综合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部门预算项目支出绩效自评表_区属公立医疗机构综合补助"/>
                    <pic:cNvPicPr>
                      <a:picLocks noChangeAspect="1"/>
                    </pic:cNvPicPr>
                  </pic:nvPicPr>
                  <pic:blipFill>
                    <a:blip r:embed="rId15"/>
                    <a:stretch>
                      <a:fillRect/>
                    </a:stretch>
                  </pic:blipFill>
                  <pic:spPr>
                    <a:xfrm>
                      <a:off x="0" y="0"/>
                      <a:ext cx="5610860" cy="5926455"/>
                    </a:xfrm>
                    <a:prstGeom prst="rect">
                      <a:avLst/>
                    </a:prstGeom>
                  </pic:spPr>
                </pic:pic>
              </a:graphicData>
            </a:graphic>
          </wp:inline>
        </w:drawing>
      </w:r>
    </w:p>
    <w:p>
      <w:pPr>
        <w:rPr>
          <w:rFonts w:hint="eastAsia" w:eastAsia="方正仿宋"/>
          <w:lang w:eastAsia="zh-CN"/>
        </w:rPr>
      </w:pPr>
      <w:r>
        <w:t>附件1</w:t>
      </w:r>
      <w:r>
        <w:rPr>
          <w:rFonts w:hint="eastAsia"/>
          <w:lang w:val="en-US" w:eastAsia="zh-CN"/>
        </w:rPr>
        <w:t>-5</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12765" cy="5926455"/>
            <wp:effectExtent l="0" t="0" r="6985" b="17145"/>
            <wp:docPr id="9" name="图片 9" descr="部门预算项目支出绩效自评表_新冠疫情常态化防控预算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部门预算项目支出绩效自评表_新冠疫情常态化防控预算经费"/>
                    <pic:cNvPicPr>
                      <a:picLocks noChangeAspect="1"/>
                    </pic:cNvPicPr>
                  </pic:nvPicPr>
                  <pic:blipFill>
                    <a:blip r:embed="rId16"/>
                    <a:stretch>
                      <a:fillRect/>
                    </a:stretch>
                  </pic:blipFill>
                  <pic:spPr>
                    <a:xfrm>
                      <a:off x="0" y="0"/>
                      <a:ext cx="5612765" cy="5926455"/>
                    </a:xfrm>
                    <a:prstGeom prst="rect">
                      <a:avLst/>
                    </a:prstGeom>
                  </pic:spPr>
                </pic:pic>
              </a:graphicData>
            </a:graphic>
          </wp:inline>
        </w:drawing>
      </w:r>
    </w:p>
    <w:p>
      <w:pPr>
        <w:rPr>
          <w:rFonts w:hint="default" w:ascii="方正黑体_GBK" w:eastAsia="方正黑体_GBK"/>
          <w:color w:val="000000"/>
          <w:lang w:val="en-US" w:eastAsia="zh-CN"/>
        </w:rPr>
      </w:pPr>
      <w:r>
        <w:t>附件1</w:t>
      </w:r>
      <w:r>
        <w:rPr>
          <w:rFonts w:hint="eastAsia"/>
          <w:lang w:val="en-US" w:eastAsia="zh-CN"/>
        </w:rPr>
        <w:t>-6</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08955" cy="4805680"/>
            <wp:effectExtent l="0" t="0" r="10795" b="13970"/>
            <wp:docPr id="10" name="图片 10" descr="部门预算项目支出绩效自评表_医联体建设专项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部门预算项目支出绩效自评表_医联体建设专项补助"/>
                    <pic:cNvPicPr>
                      <a:picLocks noChangeAspect="1"/>
                    </pic:cNvPicPr>
                  </pic:nvPicPr>
                  <pic:blipFill>
                    <a:blip r:embed="rId17"/>
                    <a:stretch>
                      <a:fillRect/>
                    </a:stretch>
                  </pic:blipFill>
                  <pic:spPr>
                    <a:xfrm>
                      <a:off x="0" y="0"/>
                      <a:ext cx="5608955" cy="4805680"/>
                    </a:xfrm>
                    <a:prstGeom prst="rect">
                      <a:avLst/>
                    </a:prstGeom>
                  </pic:spPr>
                </pic:pic>
              </a:graphicData>
            </a:graphic>
          </wp:inline>
        </w:drawing>
      </w:r>
    </w:p>
    <w:p>
      <w:pPr>
        <w:rPr>
          <w:rFonts w:hint="default" w:eastAsia="方正仿宋"/>
          <w:lang w:val="en-US" w:eastAsia="zh-CN"/>
        </w:rPr>
      </w:pPr>
      <w:r>
        <w:t>附件1</w:t>
      </w:r>
      <w:r>
        <w:rPr>
          <w:rFonts w:hint="eastAsia"/>
          <w:lang w:val="en-US" w:eastAsia="zh-CN"/>
        </w:rPr>
        <w:t>-7</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10860" cy="5348605"/>
            <wp:effectExtent l="0" t="0" r="8890" b="4445"/>
            <wp:docPr id="11" name="图片 11" descr="部门预算项目支出绩效自评表_医疗机构儿科门、急诊专项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部门预算项目支出绩效自评表_医疗机构儿科门、急诊专项补助"/>
                    <pic:cNvPicPr>
                      <a:picLocks noChangeAspect="1"/>
                    </pic:cNvPicPr>
                  </pic:nvPicPr>
                  <pic:blipFill>
                    <a:blip r:embed="rId18"/>
                    <a:stretch>
                      <a:fillRect/>
                    </a:stretch>
                  </pic:blipFill>
                  <pic:spPr>
                    <a:xfrm>
                      <a:off x="0" y="0"/>
                      <a:ext cx="5610860" cy="5348605"/>
                    </a:xfrm>
                    <a:prstGeom prst="rect">
                      <a:avLst/>
                    </a:prstGeom>
                  </pic:spPr>
                </pic:pic>
              </a:graphicData>
            </a:graphic>
          </wp:inline>
        </w:drawing>
      </w:r>
    </w:p>
    <w:p>
      <w:pPr>
        <w:rPr>
          <w:rFonts w:hint="eastAsia"/>
          <w:lang w:val="en-US" w:eastAsia="zh-CN"/>
        </w:rPr>
      </w:pPr>
      <w:r>
        <w:t>附件1</w:t>
      </w:r>
      <w:r>
        <w:rPr>
          <w:rFonts w:hint="eastAsia"/>
          <w:lang w:val="en-US" w:eastAsia="zh-CN"/>
        </w:rPr>
        <w:t>-8</w:t>
      </w:r>
    </w:p>
    <w:p>
      <w:pPr>
        <w:rPr>
          <w:rFonts w:hint="default"/>
          <w:lang w:val="en-US" w:eastAsia="zh-CN"/>
        </w:rPr>
        <w:sectPr>
          <w:pgSz w:w="11906" w:h="16838"/>
          <w:pgMar w:top="2098" w:right="1531" w:bottom="1985" w:left="1531" w:header="709" w:footer="1418" w:gutter="0"/>
          <w:cols w:space="425" w:num="1"/>
          <w:docGrid w:type="linesAndChars" w:linePitch="579" w:charSpace="-849"/>
        </w:sectPr>
      </w:pPr>
      <w:r>
        <w:rPr>
          <w:rFonts w:hint="default"/>
          <w:lang w:val="en-US" w:eastAsia="zh-CN"/>
        </w:rPr>
        <w:drawing>
          <wp:inline distT="0" distB="0" distL="114300" distR="114300">
            <wp:extent cx="5614670" cy="5300345"/>
            <wp:effectExtent l="0" t="0" r="5080" b="14605"/>
            <wp:docPr id="12" name="图片 12" descr="部门预算项目支出绩效自评表_县级公立医院取消药品加成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部门预算项目支出绩效自评表_县级公立医院取消药品加成补助"/>
                    <pic:cNvPicPr>
                      <a:picLocks noChangeAspect="1"/>
                    </pic:cNvPicPr>
                  </pic:nvPicPr>
                  <pic:blipFill>
                    <a:blip r:embed="rId19"/>
                    <a:stretch>
                      <a:fillRect/>
                    </a:stretch>
                  </pic:blipFill>
                  <pic:spPr>
                    <a:xfrm>
                      <a:off x="0" y="0"/>
                      <a:ext cx="5614670" cy="5300345"/>
                    </a:xfrm>
                    <a:prstGeom prst="rect">
                      <a:avLst/>
                    </a:prstGeom>
                  </pic:spPr>
                </pic:pic>
              </a:graphicData>
            </a:graphic>
          </wp:inline>
        </w:drawing>
      </w:r>
    </w:p>
    <w:p>
      <w:pPr>
        <w:rPr>
          <w:rFonts w:hint="eastAsia" w:eastAsia="方正仿宋"/>
          <w:lang w:eastAsia="zh-CN"/>
        </w:rPr>
      </w:pPr>
      <w:r>
        <w:t>附件1</w:t>
      </w:r>
      <w:r>
        <w:rPr>
          <w:rFonts w:hint="eastAsia"/>
          <w:lang w:val="en-US" w:eastAsia="zh-CN"/>
        </w:rPr>
        <w:t>-9</w:t>
      </w:r>
    </w:p>
    <w:p>
      <w:pPr>
        <w:rPr>
          <w:rFonts w:hint="eastAsia" w:eastAsia="方正仿宋"/>
          <w:lang w:eastAsia="zh-CN"/>
        </w:rPr>
      </w:pPr>
      <w:r>
        <w:rPr>
          <w:rFonts w:hint="eastAsia" w:eastAsia="方正仿宋"/>
          <w:lang w:eastAsia="zh-CN"/>
        </w:rPr>
        <w:drawing>
          <wp:inline distT="0" distB="0" distL="114300" distR="114300">
            <wp:extent cx="5609590" cy="4709795"/>
            <wp:effectExtent l="0" t="0" r="10160" b="14605"/>
            <wp:docPr id="13" name="图片 13" descr="部门预算项目支出绩效自评表_医疗服务质量提升及重点专科建设工作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部门预算项目支出绩效自评表_医疗服务质量提升及重点专科建设工作经费"/>
                    <pic:cNvPicPr>
                      <a:picLocks noChangeAspect="1"/>
                    </pic:cNvPicPr>
                  </pic:nvPicPr>
                  <pic:blipFill>
                    <a:blip r:embed="rId20"/>
                    <a:stretch>
                      <a:fillRect/>
                    </a:stretch>
                  </pic:blipFill>
                  <pic:spPr>
                    <a:xfrm>
                      <a:off x="0" y="0"/>
                      <a:ext cx="5609590" cy="4709795"/>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-10</w:t>
      </w:r>
    </w:p>
    <w:p>
      <w:pPr>
        <w:rPr>
          <w:rFonts w:hint="default"/>
          <w:lang w:val="en-US" w:eastAsia="zh-CN"/>
        </w:rPr>
        <w:sectPr>
          <w:pgSz w:w="11906" w:h="16838"/>
          <w:pgMar w:top="2098" w:right="1531" w:bottom="1985" w:left="1531" w:header="709" w:footer="1418" w:gutter="0"/>
          <w:cols w:space="425" w:num="1"/>
          <w:docGrid w:type="linesAndChars" w:linePitch="579" w:charSpace="-849"/>
        </w:sectPr>
      </w:pPr>
      <w:r>
        <w:rPr>
          <w:rFonts w:hint="default"/>
          <w:lang w:val="en-US" w:eastAsia="zh-CN"/>
        </w:rPr>
        <w:drawing>
          <wp:inline distT="0" distB="0" distL="114300" distR="114300">
            <wp:extent cx="5613400" cy="5031105"/>
            <wp:effectExtent l="0" t="0" r="6350" b="17145"/>
            <wp:docPr id="14" name="图片 14" descr="部门预算项目支出绩效自评表_成都儿童专科医院事业支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部门预算项目支出绩效自评表_成都儿童专科医院事业支出"/>
                    <pic:cNvPicPr>
                      <a:picLocks noChangeAspect="1"/>
                    </pic:cNvPicPr>
                  </pic:nvPicPr>
                  <pic:blipFill>
                    <a:blip r:embed="rId21"/>
                    <a:stretch>
                      <a:fillRect/>
                    </a:stretch>
                  </pic:blipFill>
                  <pic:spPr>
                    <a:xfrm>
                      <a:off x="0" y="0"/>
                      <a:ext cx="5613400" cy="5031105"/>
                    </a:xfrm>
                    <a:prstGeom prst="rect">
                      <a:avLst/>
                    </a:prstGeom>
                  </pic:spPr>
                </pic:pic>
              </a:graphicData>
            </a:graphic>
          </wp:inline>
        </w:drawing>
      </w:r>
    </w:p>
    <w:p>
      <w:pPr>
        <w:rPr>
          <w:rFonts w:hint="eastAsia" w:ascii="方正黑体_GBK" w:eastAsia="方正黑体_GBK"/>
          <w:color w:val="000000"/>
        </w:rPr>
      </w:pPr>
      <w:r>
        <w:t>附件1</w:t>
      </w:r>
      <w:r>
        <w:rPr>
          <w:rFonts w:hint="eastAsia"/>
          <w:lang w:val="en-US" w:eastAsia="zh-CN"/>
        </w:rPr>
        <w:t>-11</w:t>
      </w:r>
    </w:p>
    <w:p>
      <w:pPr>
        <w:topLinePunct/>
        <w:jc w:val="center"/>
        <w:outlineLvl w:val="0"/>
        <w:rPr>
          <w:rFonts w:hint="eastAsia" w:ascii="方正黑体_GBK" w:eastAsia="方正黑体_GBK"/>
          <w:color w:val="000000"/>
          <w:lang w:eastAsia="zh-CN"/>
        </w:rPr>
        <w:sectPr>
          <w:pgSz w:w="11906" w:h="16838"/>
          <w:pgMar w:top="2098" w:right="1531" w:bottom="1985" w:left="1531" w:header="709" w:footer="1418" w:gutter="0"/>
          <w:cols w:space="425" w:num="1"/>
          <w:docGrid w:type="linesAndChars" w:linePitch="579" w:charSpace="-849"/>
        </w:sectPr>
      </w:pPr>
      <w:r>
        <w:rPr>
          <w:rFonts w:hint="eastAsia" w:ascii="方正黑体_GBK" w:eastAsia="方正黑体_GBK"/>
          <w:color w:val="000000"/>
          <w:lang w:eastAsia="zh-CN"/>
        </w:rPr>
        <w:drawing>
          <wp:inline distT="0" distB="0" distL="114300" distR="114300">
            <wp:extent cx="5608955" cy="5608955"/>
            <wp:effectExtent l="0" t="0" r="10795" b="10795"/>
            <wp:docPr id="15" name="图片 15" descr="部门预算项目支出绩效自评表_重大公共卫生服务（市级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部门预算项目支出绩效自评表_重大公共卫生服务（市级补助）"/>
                    <pic:cNvPicPr>
                      <a:picLocks noChangeAspect="1"/>
                    </pic:cNvPicPr>
                  </pic:nvPicPr>
                  <pic:blipFill>
                    <a:blip r:embed="rId22"/>
                    <a:stretch>
                      <a:fillRect/>
                    </a:stretch>
                  </pic:blipFill>
                  <pic:spPr>
                    <a:xfrm>
                      <a:off x="0" y="0"/>
                      <a:ext cx="5608955" cy="5608955"/>
                    </a:xfrm>
                    <a:prstGeom prst="rect">
                      <a:avLst/>
                    </a:prstGeom>
                  </pic:spPr>
                </pic:pic>
              </a:graphicData>
            </a:graphic>
          </wp:inline>
        </w:drawing>
      </w:r>
    </w:p>
    <w:p>
      <w:pPr>
        <w:rPr>
          <w:rFonts w:hint="eastAsia"/>
          <w:lang w:val="en-US" w:eastAsia="zh-CN"/>
        </w:rPr>
      </w:pPr>
      <w:r>
        <w:t>附件1</w:t>
      </w:r>
      <w:r>
        <w:rPr>
          <w:rFonts w:hint="eastAsia"/>
          <w:lang w:val="en-US" w:eastAsia="zh-CN"/>
        </w:rPr>
        <w:t>-12</w:t>
      </w:r>
    </w:p>
    <w:p>
      <w:pPr>
        <w:rPr>
          <w:rFonts w:hint="default"/>
          <w:lang w:val="en-US" w:eastAsia="zh-CN"/>
        </w:rPr>
      </w:pPr>
      <w:r>
        <w:rPr>
          <w:rFonts w:hint="default"/>
          <w:lang w:val="en-US" w:eastAsia="zh-CN"/>
        </w:rPr>
        <w:drawing>
          <wp:inline distT="0" distB="0" distL="114300" distR="114300">
            <wp:extent cx="5614035" cy="6409055"/>
            <wp:effectExtent l="0" t="0" r="5715" b="10795"/>
            <wp:docPr id="16" name="图片 16" descr="部门预算项目支出绩效自评表_公立医院综合改革（中央直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部门预算项目支出绩效自评表_公立医院综合改革（中央直达）"/>
                    <pic:cNvPicPr>
                      <a:picLocks noChangeAspect="1"/>
                    </pic:cNvPicPr>
                  </pic:nvPicPr>
                  <pic:blipFill>
                    <a:blip r:embed="rId23"/>
                    <a:stretch>
                      <a:fillRect/>
                    </a:stretch>
                  </pic:blipFill>
                  <pic:spPr>
                    <a:xfrm>
                      <a:off x="0" y="0"/>
                      <a:ext cx="5614035" cy="6409055"/>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-13</w:t>
      </w:r>
    </w:p>
    <w:p>
      <w:pPr>
        <w:rPr>
          <w:rFonts w:hint="default"/>
          <w:lang w:val="en-US" w:eastAsia="zh-CN"/>
        </w:rPr>
        <w:sectPr>
          <w:pgSz w:w="11906" w:h="16838"/>
          <w:pgMar w:top="2098" w:right="1531" w:bottom="1985" w:left="1531" w:header="709" w:footer="1418" w:gutter="0"/>
          <w:cols w:space="425" w:num="1"/>
          <w:docGrid w:type="linesAndChars" w:linePitch="579" w:charSpace="-849"/>
        </w:sectPr>
      </w:pPr>
      <w:r>
        <w:rPr>
          <w:rFonts w:hint="default"/>
          <w:lang w:val="en-US" w:eastAsia="zh-CN"/>
        </w:rPr>
        <w:drawing>
          <wp:inline distT="0" distB="0" distL="114300" distR="114300">
            <wp:extent cx="5614035" cy="5212715"/>
            <wp:effectExtent l="0" t="0" r="5715" b="6985"/>
            <wp:docPr id="17" name="图片 17" descr="部门预算项目支出绩效自评表_基本公共卫生服务项目经费（市级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部门预算项目支出绩效自评表_基本公共卫生服务项目经费（市级补助）"/>
                    <pic:cNvPicPr>
                      <a:picLocks noChangeAspect="1"/>
                    </pic:cNvPicPr>
                  </pic:nvPicPr>
                  <pic:blipFill>
                    <a:blip r:embed="rId24"/>
                    <a:stretch>
                      <a:fillRect/>
                    </a:stretch>
                  </pic:blipFill>
                  <pic:spPr>
                    <a:xfrm>
                      <a:off x="0" y="0"/>
                      <a:ext cx="5614035" cy="5212715"/>
                    </a:xfrm>
                    <a:prstGeom prst="rect">
                      <a:avLst/>
                    </a:prstGeom>
                  </pic:spPr>
                </pic:pic>
              </a:graphicData>
            </a:graphic>
          </wp:inline>
        </w:drawing>
      </w:r>
    </w:p>
    <w:p>
      <w:pPr>
        <w:rPr>
          <w:rFonts w:hint="eastAsia"/>
          <w:lang w:val="en-US" w:eastAsia="zh-CN"/>
        </w:rPr>
      </w:pPr>
      <w:r>
        <w:t>附件1</w:t>
      </w:r>
      <w:r>
        <w:rPr>
          <w:rFonts w:hint="eastAsia"/>
          <w:lang w:val="en-US" w:eastAsia="zh-CN"/>
        </w:rPr>
        <w:t>-14</w:t>
      </w:r>
    </w:p>
    <w:p>
      <w:pPr>
        <w:rPr>
          <w:rFonts w:hint="default"/>
          <w:lang w:val="en-US" w:eastAsia="zh-CN"/>
        </w:rPr>
      </w:pPr>
      <w:r>
        <w:rPr>
          <w:rFonts w:hint="default"/>
          <w:lang w:val="en-US" w:eastAsia="zh-CN"/>
        </w:rPr>
        <w:drawing>
          <wp:inline distT="0" distB="0" distL="114300" distR="114300">
            <wp:extent cx="5608955" cy="5448935"/>
            <wp:effectExtent l="0" t="0" r="10795" b="18415"/>
            <wp:docPr id="18" name="图片 18" descr="部门预算项目支出绩效自评表_基本公共卫生服务（平移）（中央直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部门预算项目支出绩效自评表_基本公共卫生服务（平移）（中央直达）"/>
                    <pic:cNvPicPr>
                      <a:picLocks noChangeAspect="1"/>
                    </pic:cNvPicPr>
                  </pic:nvPicPr>
                  <pic:blipFill>
                    <a:blip r:embed="rId25"/>
                    <a:stretch>
                      <a:fillRect/>
                    </a:stretch>
                  </pic:blipFill>
                  <pic:spPr>
                    <a:xfrm>
                      <a:off x="0" y="0"/>
                      <a:ext cx="5608955" cy="5448935"/>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-15</w:t>
      </w:r>
    </w:p>
    <w:p>
      <w:pPr>
        <w:rPr>
          <w:rFonts w:hint="default"/>
          <w:lang w:val="en-US" w:eastAsia="zh-CN"/>
        </w:rPr>
      </w:pPr>
      <w:r>
        <w:rPr>
          <w:rFonts w:hint="default"/>
          <w:lang w:val="en-US" w:eastAsia="zh-CN"/>
        </w:rPr>
        <w:drawing>
          <wp:inline distT="0" distB="0" distL="114300" distR="114300">
            <wp:extent cx="5612130" cy="4999990"/>
            <wp:effectExtent l="0" t="0" r="7620" b="10160"/>
            <wp:docPr id="19" name="图片 19" descr="部门预算项目支出绩效自评表_重大公共卫生服务（中央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部门预算项目支出绩效自评表_重大公共卫生服务（中央补助）"/>
                    <pic:cNvPicPr>
                      <a:picLocks noChangeAspect="1"/>
                    </pic:cNvPicPr>
                  </pic:nvPicPr>
                  <pic:blipFill>
                    <a:blip r:embed="rId26"/>
                    <a:stretch>
                      <a:fillRect/>
                    </a:stretch>
                  </pic:blipFill>
                  <pic:spPr>
                    <a:xfrm>
                      <a:off x="0" y="0"/>
                      <a:ext cx="5612130" cy="4999990"/>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-16</w:t>
      </w:r>
    </w:p>
    <w:p>
      <w:pPr>
        <w:rPr>
          <w:rFonts w:hint="default"/>
          <w:lang w:val="en-US" w:eastAsia="zh-CN"/>
        </w:rPr>
      </w:pPr>
      <w:r>
        <w:rPr>
          <w:rFonts w:hint="default"/>
          <w:lang w:val="en-US" w:eastAsia="zh-CN"/>
        </w:rPr>
        <w:drawing>
          <wp:inline distT="0" distB="0" distL="114300" distR="114300">
            <wp:extent cx="5615940" cy="5858510"/>
            <wp:effectExtent l="0" t="0" r="3810" b="8890"/>
            <wp:docPr id="20" name="图片 20" descr="部门预算项目支出绩效自评表_核增2021年一次性绩效工资总量补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部门预算项目支出绩效自评表_核增2021年一次性绩效工资总量补助"/>
                    <pic:cNvPicPr>
                      <a:picLocks noChangeAspect="1"/>
                    </pic:cNvPicPr>
                  </pic:nvPicPr>
                  <pic:blipFill>
                    <a:blip r:embed="rId27"/>
                    <a:stretch>
                      <a:fillRect/>
                    </a:stretch>
                  </pic:blipFill>
                  <pic:spPr>
                    <a:xfrm>
                      <a:off x="0" y="0"/>
                      <a:ext cx="5615940" cy="5858510"/>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-17</w:t>
      </w:r>
    </w:p>
    <w:p>
      <w:pPr>
        <w:rPr>
          <w:rFonts w:hint="default"/>
          <w:lang w:val="en-US" w:eastAsia="zh-CN"/>
        </w:rPr>
      </w:pPr>
      <w:r>
        <w:rPr>
          <w:rFonts w:hint="default"/>
          <w:lang w:val="en-US" w:eastAsia="zh-CN"/>
        </w:rPr>
        <w:drawing>
          <wp:inline distT="0" distB="0" distL="114300" distR="114300">
            <wp:extent cx="5608320" cy="5118100"/>
            <wp:effectExtent l="0" t="0" r="11430" b="6350"/>
            <wp:docPr id="21" name="图片 21" descr="部门预算项目支出绩效自评表_2022年医疗卫生岗志愿者待遇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部门预算项目支出绩效自评表_2022年医疗卫生岗志愿者待遇经费"/>
                    <pic:cNvPicPr>
                      <a:picLocks noChangeAspect="1"/>
                    </pic:cNvPicPr>
                  </pic:nvPicPr>
                  <pic:blipFill>
                    <a:blip r:embed="rId28"/>
                    <a:stretch>
                      <a:fillRect/>
                    </a:stretch>
                  </pic:blipFill>
                  <pic:spPr>
                    <a:xfrm>
                      <a:off x="0" y="0"/>
                      <a:ext cx="5608320" cy="5118100"/>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-18</w:t>
      </w:r>
    </w:p>
    <w:p>
      <w:pPr>
        <w:rPr>
          <w:rFonts w:hint="default"/>
          <w:lang w:val="en-US" w:eastAsia="zh-CN"/>
        </w:rPr>
      </w:pPr>
      <w:r>
        <w:rPr>
          <w:rFonts w:hint="default"/>
          <w:lang w:val="en-US" w:eastAsia="zh-CN"/>
        </w:rPr>
        <w:drawing>
          <wp:inline distT="0" distB="0" distL="114300" distR="114300">
            <wp:extent cx="5614670" cy="4888230"/>
            <wp:effectExtent l="0" t="0" r="5080" b="7620"/>
            <wp:docPr id="22" name="图片 22" descr="部门预算项目支出绩效自评表_区属公立医疗机构及改制医院退休人员2021年度一次性生活补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部门预算项目支出绩效自评表_区属公立医疗机构及改制医院退休人员2021年度一次性生活补贴"/>
                    <pic:cNvPicPr>
                      <a:picLocks noChangeAspect="1"/>
                    </pic:cNvPicPr>
                  </pic:nvPicPr>
                  <pic:blipFill>
                    <a:blip r:embed="rId29"/>
                    <a:stretch>
                      <a:fillRect/>
                    </a:stretch>
                  </pic:blipFill>
                  <pic:spPr>
                    <a:xfrm>
                      <a:off x="0" y="0"/>
                      <a:ext cx="5614670" cy="4888230"/>
                    </a:xfrm>
                    <a:prstGeom prst="rect">
                      <a:avLst/>
                    </a:prstGeom>
                  </pic:spPr>
                </pic:pic>
              </a:graphicData>
            </a:graphic>
          </wp:inline>
        </w:drawing>
      </w:r>
    </w:p>
    <w:p>
      <w:pPr>
        <w:topLinePunct/>
        <w:jc w:val="center"/>
        <w:outlineLvl w:val="0"/>
        <w:rPr>
          <w:rFonts w:hint="eastAsia" w:ascii="方正黑体_GBK" w:eastAsia="方正黑体_GBK"/>
          <w:color w:val="000000"/>
        </w:rPr>
        <w:sectPr>
          <w:pgSz w:w="11906" w:h="16838"/>
          <w:pgMar w:top="2098" w:right="1531" w:bottom="1985" w:left="1531" w:header="709" w:footer="1418" w:gutter="0"/>
          <w:cols w:space="425" w:num="1"/>
          <w:docGrid w:type="linesAndChars" w:linePitch="579" w:charSpace="-849"/>
        </w:sectPr>
      </w:pPr>
    </w:p>
    <w:p>
      <w:pPr>
        <w:rPr>
          <w:rFonts w:hint="eastAsia"/>
          <w:lang w:val="en-US" w:eastAsia="zh-CN"/>
        </w:rPr>
      </w:pPr>
      <w:r>
        <w:t>附件1</w:t>
      </w:r>
      <w:r>
        <w:rPr>
          <w:rFonts w:hint="eastAsia"/>
          <w:lang w:val="en-US" w:eastAsia="zh-CN"/>
        </w:rPr>
        <w:t>-19</w:t>
      </w:r>
    </w:p>
    <w:p>
      <w:pPr>
        <w:rPr>
          <w:rFonts w:hint="default"/>
          <w:lang w:val="en-US" w:eastAsia="zh-CN"/>
        </w:rPr>
        <w:sectPr>
          <w:pgSz w:w="11906" w:h="16838"/>
          <w:pgMar w:top="2098" w:right="1531" w:bottom="1985" w:left="1531" w:header="709" w:footer="1418" w:gutter="0"/>
          <w:cols w:space="425" w:num="1"/>
          <w:docGrid w:type="linesAndChars" w:linePitch="579" w:charSpace="-849"/>
        </w:sectPr>
      </w:pPr>
      <w:r>
        <w:rPr>
          <w:rFonts w:hint="default"/>
          <w:lang w:val="en-US" w:eastAsia="zh-CN"/>
        </w:rPr>
        <w:drawing>
          <wp:inline distT="0" distB="0" distL="114300" distR="114300">
            <wp:extent cx="5612765" cy="5514975"/>
            <wp:effectExtent l="0" t="0" r="6985" b="9525"/>
            <wp:docPr id="23" name="图片 23" descr="部门预算项目支出绩效自评表_监护型负压救护车车辆采购经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部门预算项目支出绩效自评表_监护型负压救护车车辆采购经费"/>
                    <pic:cNvPicPr>
                      <a:picLocks noChangeAspect="1"/>
                    </pic:cNvPicPr>
                  </pic:nvPicPr>
                  <pic:blipFill>
                    <a:blip r:embed="rId30"/>
                    <a:stretch>
                      <a:fillRect/>
                    </a:stretch>
                  </pic:blipFill>
                  <pic:spPr>
                    <a:xfrm>
                      <a:off x="0" y="0"/>
                      <a:ext cx="5612765" cy="5514975"/>
                    </a:xfrm>
                    <a:prstGeom prst="rect">
                      <a:avLst/>
                    </a:prstGeom>
                  </pic:spPr>
                </pic:pic>
              </a:graphicData>
            </a:graphic>
          </wp:inline>
        </w:drawing>
      </w:r>
    </w:p>
    <w:p>
      <w:pPr>
        <w:topLinePunct/>
        <w:jc w:val="center"/>
        <w:outlineLvl w:val="0"/>
        <w:rPr>
          <w:rStyle w:val="26"/>
          <w:rFonts w:ascii="方正黑体_GBK" w:eastAsia="方正黑体_GBK"/>
          <w:b w:val="0"/>
          <w:bCs w:val="0"/>
          <w:sz w:val="32"/>
          <w:szCs w:val="32"/>
        </w:rPr>
      </w:pPr>
      <w:r>
        <w:rPr>
          <w:rFonts w:hint="eastAsia" w:ascii="方正黑体_GBK" w:eastAsia="方正黑体_GBK"/>
          <w:color w:val="000000"/>
        </w:rPr>
        <w:t>第</w:t>
      </w:r>
      <w:r>
        <w:rPr>
          <w:rStyle w:val="26"/>
          <w:rFonts w:hint="eastAsia" w:ascii="方正黑体_GBK" w:eastAsia="方正黑体_GBK"/>
          <w:b w:val="0"/>
          <w:bCs w:val="0"/>
          <w:sz w:val="32"/>
          <w:szCs w:val="32"/>
        </w:rPr>
        <w:t>五部分附表</w:t>
      </w:r>
      <w:bookmarkEnd w:id="65"/>
    </w:p>
    <w:p>
      <w:pPr>
        <w:tabs>
          <w:tab w:val="left" w:pos="7584"/>
        </w:tabs>
        <w:topLinePunct/>
        <w:rPr>
          <w:rFonts w:eastAsia="方正仿宋_GBK"/>
          <w:color w:val="000000"/>
        </w:rPr>
      </w:pPr>
    </w:p>
    <w:p>
      <w:pPr>
        <w:tabs>
          <w:tab w:val="left" w:pos="7584"/>
        </w:tabs>
        <w:topLinePunct/>
        <w:outlineLvl w:val="1"/>
        <w:rPr>
          <w:rFonts w:eastAsia="方正仿宋_GBK"/>
          <w:color w:val="000000"/>
        </w:rPr>
      </w:pPr>
      <w:bookmarkStart w:id="66" w:name="_Toc144134989"/>
      <w:bookmarkStart w:id="67" w:name="_Toc143699703"/>
      <w:r>
        <w:rPr>
          <w:rFonts w:hint="eastAsia" w:eastAsia="方正仿宋_GBK"/>
          <w:color w:val="000000"/>
        </w:rPr>
        <w:t>一、收入支出决算总表</w:t>
      </w:r>
      <w:bookmarkEnd w:id="66"/>
      <w:bookmarkEnd w:id="67"/>
    </w:p>
    <w:p>
      <w:pPr>
        <w:tabs>
          <w:tab w:val="left" w:pos="7584"/>
        </w:tabs>
        <w:topLinePunct/>
        <w:outlineLvl w:val="1"/>
        <w:rPr>
          <w:rFonts w:eastAsia="方正仿宋_GBK"/>
          <w:color w:val="000000"/>
        </w:rPr>
      </w:pPr>
      <w:bookmarkStart w:id="68" w:name="_Toc144134990"/>
      <w:bookmarkStart w:id="69" w:name="_Toc143699704"/>
      <w:r>
        <w:rPr>
          <w:rFonts w:hint="eastAsia" w:eastAsia="方正仿宋_GBK"/>
          <w:color w:val="000000"/>
        </w:rPr>
        <w:t>二、收入决算表</w:t>
      </w:r>
      <w:bookmarkEnd w:id="68"/>
      <w:bookmarkEnd w:id="69"/>
    </w:p>
    <w:p>
      <w:pPr>
        <w:tabs>
          <w:tab w:val="left" w:pos="7584"/>
        </w:tabs>
        <w:topLinePunct/>
        <w:outlineLvl w:val="1"/>
        <w:rPr>
          <w:rFonts w:eastAsia="方正仿宋_GBK"/>
          <w:color w:val="000000"/>
        </w:rPr>
      </w:pPr>
      <w:bookmarkStart w:id="70" w:name="_Toc144134991"/>
      <w:bookmarkStart w:id="71" w:name="_Toc143699705"/>
      <w:r>
        <w:rPr>
          <w:rFonts w:hint="eastAsia" w:eastAsia="方正仿宋_GBK"/>
          <w:color w:val="000000"/>
        </w:rPr>
        <w:t>三、支出决算表</w:t>
      </w:r>
      <w:bookmarkEnd w:id="70"/>
      <w:bookmarkEnd w:id="71"/>
    </w:p>
    <w:p>
      <w:pPr>
        <w:tabs>
          <w:tab w:val="left" w:pos="7584"/>
        </w:tabs>
        <w:topLinePunct/>
        <w:outlineLvl w:val="1"/>
        <w:rPr>
          <w:rFonts w:eastAsia="方正仿宋_GBK"/>
          <w:color w:val="000000"/>
        </w:rPr>
      </w:pPr>
      <w:bookmarkStart w:id="72" w:name="_Toc144134992"/>
      <w:bookmarkStart w:id="73" w:name="_Toc143699706"/>
      <w:r>
        <w:rPr>
          <w:rFonts w:hint="eastAsia" w:eastAsia="方正仿宋_GBK"/>
          <w:color w:val="000000"/>
        </w:rPr>
        <w:t>四、财政拨款收入支出决算总表</w:t>
      </w:r>
      <w:bookmarkEnd w:id="72"/>
      <w:bookmarkEnd w:id="73"/>
    </w:p>
    <w:p>
      <w:pPr>
        <w:tabs>
          <w:tab w:val="left" w:pos="7584"/>
        </w:tabs>
        <w:topLinePunct/>
        <w:outlineLvl w:val="1"/>
        <w:rPr>
          <w:rFonts w:eastAsia="方正仿宋_GBK"/>
          <w:color w:val="000000"/>
        </w:rPr>
      </w:pPr>
      <w:bookmarkStart w:id="74" w:name="_Toc144134993"/>
      <w:bookmarkStart w:id="75" w:name="_Toc143699707"/>
      <w:r>
        <w:rPr>
          <w:rFonts w:hint="eastAsia" w:eastAsia="方正仿宋_GBK"/>
          <w:color w:val="000000"/>
        </w:rPr>
        <w:t>五、财政拨款支出决算明细表</w:t>
      </w:r>
      <w:bookmarkEnd w:id="74"/>
      <w:bookmarkEnd w:id="75"/>
    </w:p>
    <w:p>
      <w:pPr>
        <w:tabs>
          <w:tab w:val="left" w:pos="7584"/>
        </w:tabs>
        <w:topLinePunct/>
        <w:outlineLvl w:val="1"/>
        <w:rPr>
          <w:rFonts w:eastAsia="方正仿宋_GBK"/>
          <w:color w:val="000000"/>
        </w:rPr>
      </w:pPr>
      <w:bookmarkStart w:id="76" w:name="_Toc143699708"/>
      <w:bookmarkStart w:id="77" w:name="_Toc144134994"/>
      <w:r>
        <w:rPr>
          <w:rFonts w:hint="eastAsia" w:eastAsia="方正仿宋_GBK"/>
          <w:color w:val="000000"/>
        </w:rPr>
        <w:t>六、一般公共预算财政拨款支出决算表</w:t>
      </w:r>
      <w:bookmarkEnd w:id="76"/>
      <w:bookmarkEnd w:id="77"/>
    </w:p>
    <w:p>
      <w:pPr>
        <w:tabs>
          <w:tab w:val="left" w:pos="7584"/>
        </w:tabs>
        <w:topLinePunct/>
        <w:outlineLvl w:val="1"/>
        <w:rPr>
          <w:rFonts w:eastAsia="方正仿宋_GBK"/>
          <w:color w:val="000000"/>
        </w:rPr>
      </w:pPr>
      <w:bookmarkStart w:id="78" w:name="_Toc143699709"/>
      <w:bookmarkStart w:id="79" w:name="_Toc144134995"/>
      <w:r>
        <w:rPr>
          <w:rFonts w:hint="eastAsia" w:eastAsia="方正仿宋_GBK"/>
          <w:color w:val="000000"/>
        </w:rPr>
        <w:t>七、一般公共预算财政拨款支出决算明细表</w:t>
      </w:r>
      <w:bookmarkEnd w:id="78"/>
      <w:bookmarkEnd w:id="79"/>
    </w:p>
    <w:p>
      <w:pPr>
        <w:tabs>
          <w:tab w:val="left" w:pos="7584"/>
        </w:tabs>
        <w:topLinePunct/>
        <w:outlineLvl w:val="1"/>
        <w:rPr>
          <w:rFonts w:eastAsia="方正仿宋_GBK"/>
          <w:color w:val="000000"/>
        </w:rPr>
      </w:pPr>
      <w:bookmarkStart w:id="80" w:name="_Toc143699710"/>
      <w:bookmarkStart w:id="81" w:name="_Toc144134996"/>
      <w:r>
        <w:rPr>
          <w:rFonts w:hint="eastAsia" w:eastAsia="方正仿宋_GBK"/>
          <w:color w:val="000000"/>
        </w:rPr>
        <w:t>八、一般公共预算财政拨款基本支出决算表</w:t>
      </w:r>
      <w:bookmarkEnd w:id="80"/>
      <w:bookmarkEnd w:id="81"/>
    </w:p>
    <w:p>
      <w:pPr>
        <w:tabs>
          <w:tab w:val="left" w:pos="7584"/>
        </w:tabs>
        <w:topLinePunct/>
        <w:outlineLvl w:val="1"/>
        <w:rPr>
          <w:rFonts w:eastAsia="方正仿宋_GBK"/>
          <w:color w:val="000000"/>
        </w:rPr>
      </w:pPr>
      <w:bookmarkStart w:id="82" w:name="_Toc143699711"/>
      <w:bookmarkStart w:id="83" w:name="_Toc144134997"/>
      <w:r>
        <w:rPr>
          <w:rFonts w:hint="eastAsia" w:eastAsia="方正仿宋_GBK"/>
          <w:color w:val="000000"/>
        </w:rPr>
        <w:t>九、一般公共预算财政拨款项目支出决算表</w:t>
      </w:r>
      <w:bookmarkEnd w:id="82"/>
      <w:bookmarkEnd w:id="83"/>
    </w:p>
    <w:p>
      <w:pPr>
        <w:tabs>
          <w:tab w:val="left" w:pos="7584"/>
        </w:tabs>
        <w:topLinePunct/>
        <w:outlineLvl w:val="1"/>
        <w:rPr>
          <w:rFonts w:eastAsia="方正仿宋_GBK"/>
          <w:color w:val="000000"/>
        </w:rPr>
      </w:pPr>
      <w:bookmarkStart w:id="84" w:name="_Toc143699712"/>
      <w:bookmarkStart w:id="85" w:name="_Toc144134998"/>
      <w:r>
        <w:rPr>
          <w:rFonts w:hint="eastAsia" w:eastAsia="方正仿宋_GBK"/>
          <w:color w:val="000000"/>
        </w:rPr>
        <w:t>十、政府性基金预算财政拨款收入支出决算表</w:t>
      </w:r>
      <w:bookmarkEnd w:id="84"/>
      <w:bookmarkEnd w:id="85"/>
    </w:p>
    <w:p>
      <w:pPr>
        <w:tabs>
          <w:tab w:val="left" w:pos="7584"/>
        </w:tabs>
        <w:topLinePunct/>
        <w:outlineLvl w:val="1"/>
        <w:rPr>
          <w:rFonts w:eastAsia="方正仿宋_GBK"/>
          <w:color w:val="000000"/>
        </w:rPr>
      </w:pPr>
      <w:bookmarkStart w:id="86" w:name="_Toc143699713"/>
      <w:bookmarkStart w:id="87" w:name="_Toc144134999"/>
      <w:r>
        <w:rPr>
          <w:rFonts w:hint="eastAsia" w:eastAsia="方正仿宋_GBK"/>
          <w:color w:val="000000"/>
        </w:rPr>
        <w:t>十一、</w:t>
      </w:r>
      <w:r>
        <w:rPr>
          <w:rFonts w:hint="eastAsia" w:ascii="仿宋" w:hAnsi="仿宋" w:eastAsia="仿宋"/>
        </w:rPr>
        <w:t>国</w:t>
      </w:r>
      <w:r>
        <w:rPr>
          <w:rStyle w:val="28"/>
          <w:rFonts w:hint="eastAsia" w:ascii="仿宋" w:hAnsi="仿宋" w:eastAsia="仿宋"/>
        </w:rPr>
        <w:t>有资本经营预算财政拨款收入支出决算表</w:t>
      </w:r>
      <w:bookmarkEnd w:id="86"/>
      <w:bookmarkEnd w:id="87"/>
    </w:p>
    <w:p>
      <w:pPr>
        <w:tabs>
          <w:tab w:val="left" w:pos="7584"/>
        </w:tabs>
        <w:topLinePunct/>
        <w:outlineLvl w:val="1"/>
        <w:rPr>
          <w:rFonts w:eastAsia="方正仿宋_GBK"/>
          <w:color w:val="000000"/>
        </w:rPr>
      </w:pPr>
      <w:bookmarkStart w:id="88" w:name="_Toc144135000"/>
      <w:bookmarkStart w:id="89" w:name="_Toc143699714"/>
      <w:r>
        <w:rPr>
          <w:rFonts w:hint="eastAsia" w:eastAsia="方正仿宋_GBK"/>
          <w:color w:val="000000"/>
        </w:rPr>
        <w:t>十二、</w:t>
      </w:r>
      <w:r>
        <w:rPr>
          <w:rStyle w:val="28"/>
          <w:rFonts w:hint="eastAsia" w:ascii="仿宋" w:hAnsi="仿宋" w:eastAsia="仿宋"/>
        </w:rPr>
        <w:t>国有资本经营预算财政拨款支出决算表</w:t>
      </w:r>
      <w:bookmarkEnd w:id="88"/>
      <w:bookmarkEnd w:id="89"/>
    </w:p>
    <w:p>
      <w:pPr>
        <w:tabs>
          <w:tab w:val="left" w:pos="7584"/>
        </w:tabs>
        <w:topLinePunct/>
        <w:outlineLvl w:val="1"/>
        <w:rPr>
          <w:rFonts w:eastAsia="方正仿宋_GBK"/>
          <w:color w:val="000000"/>
        </w:rPr>
      </w:pPr>
      <w:bookmarkStart w:id="90" w:name="_Toc144135001"/>
      <w:bookmarkStart w:id="91" w:name="_Toc143699715"/>
      <w:r>
        <w:rPr>
          <w:rFonts w:hint="eastAsia" w:eastAsia="方正仿宋_GBK"/>
          <w:color w:val="000000"/>
        </w:rPr>
        <w:t>十三、</w:t>
      </w:r>
      <w:r>
        <w:rPr>
          <w:rStyle w:val="28"/>
          <w:rFonts w:hint="eastAsia" w:ascii="仿宋" w:hAnsi="仿宋" w:eastAsia="仿宋"/>
        </w:rPr>
        <w:t>财政拨款“三公”经费支出决算表</w:t>
      </w:r>
      <w:bookmarkEnd w:id="90"/>
      <w:bookmarkEnd w:id="91"/>
    </w:p>
    <w:p>
      <w:pPr>
        <w:tabs>
          <w:tab w:val="left" w:pos="7584"/>
        </w:tabs>
        <w:topLinePunct/>
        <w:rPr>
          <w:rFonts w:eastAsia="方正仿宋_GBK"/>
          <w:color w:val="000000"/>
        </w:rPr>
      </w:pPr>
    </w:p>
    <w:p>
      <w:pPr>
        <w:tabs>
          <w:tab w:val="left" w:pos="7584"/>
        </w:tabs>
        <w:topLinePunct/>
        <w:rPr>
          <w:rFonts w:eastAsia="方正仿宋_GBK"/>
          <w:color w:val="000000"/>
        </w:rPr>
      </w:pPr>
    </w:p>
    <w:p>
      <w:pPr>
        <w:tabs>
          <w:tab w:val="left" w:pos="7584"/>
        </w:tabs>
        <w:topLinePunct/>
        <w:rPr>
          <w:rFonts w:eastAsia="方正仿宋_GBK"/>
          <w:b/>
          <w:color w:val="FF0000"/>
        </w:rPr>
      </w:pPr>
    </w:p>
    <w:p>
      <w:pPr>
        <w:tabs>
          <w:tab w:val="left" w:pos="7584"/>
        </w:tabs>
        <w:topLinePunct/>
        <w:ind w:firstLine="316" w:firstLineChars="100"/>
        <w:rPr>
          <w:rFonts w:eastAsia="方正仿宋_GBK"/>
          <w:color w:val="FF0000"/>
        </w:rPr>
      </w:pPr>
    </w:p>
    <w:p>
      <w:pPr>
        <w:tabs>
          <w:tab w:val="left" w:pos="7584"/>
        </w:tabs>
        <w:topLinePunct/>
        <w:jc w:val="left"/>
        <w:rPr>
          <w:rFonts w:eastAsia="方正仿宋_GBK"/>
          <w:color w:val="FF0000"/>
        </w:rPr>
      </w:pPr>
    </w:p>
    <w:p>
      <w:pPr>
        <w:tabs>
          <w:tab w:val="left" w:pos="7584"/>
        </w:tabs>
        <w:topLinePunct/>
        <w:ind w:firstLine="316" w:firstLineChars="100"/>
        <w:jc w:val="left"/>
        <w:rPr>
          <w:rFonts w:eastAsia="方正仿宋_GBK"/>
          <w:color w:val="FF0000"/>
        </w:rPr>
      </w:pPr>
    </w:p>
    <w:p>
      <w:pPr>
        <w:tabs>
          <w:tab w:val="left" w:pos="7584"/>
        </w:tabs>
        <w:topLinePunct/>
        <w:rPr>
          <w:rFonts w:eastAsia="方正仿宋_GBK"/>
          <w:color w:val="000000"/>
        </w:rPr>
      </w:pPr>
    </w:p>
    <w:sectPr>
      <w:pgSz w:w="11906" w:h="16838"/>
      <w:pgMar w:top="2098" w:right="1531" w:bottom="1985" w:left="1531" w:header="709" w:footer="1418"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仿宋">
    <w:altName w:val="仿宋"/>
    <w:panose1 w:val="00000000000000000000"/>
    <w:charset w:val="86"/>
    <w:family w:val="script"/>
    <w:pitch w:val="default"/>
    <w:sig w:usb0="00000000" w:usb1="00000000" w:usb2="00000010" w:usb3="00000000" w:csb0="00040000" w:csb1="00000000"/>
  </w:font>
  <w:font w:name="Cambria">
    <w:panose1 w:val="020405030504060A0204"/>
    <w:charset w:val="00"/>
    <w:family w:val="roman"/>
    <w:pitch w:val="default"/>
    <w:sig w:usb0="A00002EF" w:usb1="4000004B" w:usb2="00000000" w:usb3="00000000" w:csb0="2000009F" w:csb1="00000000"/>
  </w:font>
  <w:font w:name="仿宋_GB2312">
    <w:altName w:val="仿宋"/>
    <w:panose1 w:val="02010609030101010101"/>
    <w:charset w:val="86"/>
    <w:family w:val="modern"/>
    <w:pitch w:val="default"/>
    <w:sig w:usb0="00000000" w:usb1="00000000" w:usb2="00000010" w:usb3="00000000" w:csb0="00040000" w:csb1="00000000"/>
  </w:font>
  <w:font w:name="方正黑体_GBK">
    <w:altName w:val="Arial Unicode MS"/>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仿宋_GBK">
    <w:altName w:val="Arial Unicode MS"/>
    <w:panose1 w:val="03000509000000000000"/>
    <w:charset w:val="86"/>
    <w:family w:val="script"/>
    <w:pitch w:val="default"/>
    <w:sig w:usb0="00000000" w:usb1="00000000" w:usb2="00000010" w:usb3="00000000" w:csb0="00040000" w:csb1="00000000"/>
  </w:font>
  <w:font w:name="方正楷体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3"/>
        <w:rFonts w:ascii="宋体" w:hAnsi="宋体" w:eastAsia="宋体"/>
        <w:sz w:val="28"/>
        <w:szCs w:val="28"/>
      </w:rPr>
    </w:pPr>
    <w:r>
      <w:rPr>
        <w:rStyle w:val="23"/>
        <w:rFonts w:ascii="宋体" w:hAnsi="宋体" w:eastAsia="宋体"/>
        <w:sz w:val="28"/>
        <w:szCs w:val="28"/>
      </w:rPr>
      <w:t xml:space="preserve">— </w:t>
    </w:r>
    <w:r>
      <w:rPr>
        <w:rStyle w:val="23"/>
        <w:rFonts w:ascii="宋体" w:hAnsi="宋体" w:eastAsia="宋体"/>
        <w:sz w:val="28"/>
        <w:szCs w:val="28"/>
      </w:rPr>
      <w:fldChar w:fldCharType="begin"/>
    </w:r>
    <w:r>
      <w:rPr>
        <w:rStyle w:val="23"/>
        <w:rFonts w:ascii="宋体" w:hAnsi="宋体" w:eastAsia="宋体"/>
        <w:sz w:val="28"/>
        <w:szCs w:val="28"/>
      </w:rPr>
      <w:instrText xml:space="preserve">PAGE  </w:instrText>
    </w:r>
    <w:r>
      <w:rPr>
        <w:rStyle w:val="23"/>
        <w:rFonts w:ascii="宋体" w:hAnsi="宋体" w:eastAsia="宋体"/>
        <w:sz w:val="28"/>
        <w:szCs w:val="28"/>
      </w:rPr>
      <w:fldChar w:fldCharType="separate"/>
    </w:r>
    <w:r>
      <w:rPr>
        <w:rStyle w:val="23"/>
        <w:rFonts w:ascii="宋体" w:hAnsi="宋体" w:eastAsia="宋体"/>
        <w:sz w:val="28"/>
        <w:szCs w:val="28"/>
      </w:rPr>
      <w:t>11</w:t>
    </w:r>
    <w:r>
      <w:rPr>
        <w:rStyle w:val="23"/>
        <w:rFonts w:ascii="宋体" w:hAnsi="宋体" w:eastAsia="宋体"/>
        <w:sz w:val="28"/>
        <w:szCs w:val="28"/>
      </w:rPr>
      <w:fldChar w:fldCharType="end"/>
    </w:r>
    <w:r>
      <w:rPr>
        <w:rStyle w:val="23"/>
        <w:rFonts w:ascii="宋体" w:hAnsi="宋体" w:eastAsia="宋体"/>
        <w:sz w:val="28"/>
        <w:szCs w:val="28"/>
      </w:rPr>
      <w:t xml:space="preserve"> —</w:t>
    </w: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3"/>
        <w:rFonts w:ascii="宋体" w:hAnsi="宋体" w:eastAsia="宋体"/>
        <w:sz w:val="28"/>
        <w:szCs w:val="28"/>
      </w:rPr>
    </w:pPr>
    <w:r>
      <w:rPr>
        <w:rStyle w:val="23"/>
        <w:rFonts w:ascii="宋体" w:hAnsi="宋体" w:eastAsia="宋体"/>
        <w:sz w:val="28"/>
        <w:szCs w:val="28"/>
      </w:rPr>
      <w:t xml:space="preserve">— </w:t>
    </w:r>
    <w:r>
      <w:rPr>
        <w:rStyle w:val="23"/>
        <w:rFonts w:ascii="宋体" w:hAnsi="宋体" w:eastAsia="宋体"/>
        <w:sz w:val="28"/>
        <w:szCs w:val="28"/>
      </w:rPr>
      <w:fldChar w:fldCharType="begin"/>
    </w:r>
    <w:r>
      <w:rPr>
        <w:rStyle w:val="23"/>
        <w:rFonts w:ascii="宋体" w:hAnsi="宋体" w:eastAsia="宋体"/>
        <w:sz w:val="28"/>
        <w:szCs w:val="28"/>
      </w:rPr>
      <w:instrText xml:space="preserve">PAGE  </w:instrText>
    </w:r>
    <w:r>
      <w:rPr>
        <w:rStyle w:val="23"/>
        <w:rFonts w:ascii="宋体" w:hAnsi="宋体" w:eastAsia="宋体"/>
        <w:sz w:val="28"/>
        <w:szCs w:val="28"/>
      </w:rPr>
      <w:fldChar w:fldCharType="separate"/>
    </w:r>
    <w:r>
      <w:rPr>
        <w:rStyle w:val="23"/>
        <w:rFonts w:ascii="宋体" w:hAnsi="宋体" w:eastAsia="宋体"/>
        <w:sz w:val="28"/>
        <w:szCs w:val="28"/>
      </w:rPr>
      <w:t>12</w:t>
    </w:r>
    <w:r>
      <w:rPr>
        <w:rStyle w:val="23"/>
        <w:rFonts w:ascii="宋体" w:hAnsi="宋体" w:eastAsia="宋体"/>
        <w:sz w:val="28"/>
        <w:szCs w:val="28"/>
      </w:rPr>
      <w:fldChar w:fldCharType="end"/>
    </w:r>
    <w:r>
      <w:rPr>
        <w:rStyle w:val="23"/>
        <w:rFonts w:ascii="宋体" w:hAnsi="宋体" w:eastAsia="宋体"/>
        <w:sz w:val="28"/>
        <w:szCs w:val="28"/>
      </w:rPr>
      <w:t xml:space="preserve"> —</w:t>
    </w:r>
  </w:p>
  <w:p>
    <w:pPr>
      <w:pStyle w:val="1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26EE2"/>
    <w:rsid w:val="00000AB1"/>
    <w:rsid w:val="00001C79"/>
    <w:rsid w:val="00004981"/>
    <w:rsid w:val="0000582D"/>
    <w:rsid w:val="00010233"/>
    <w:rsid w:val="000140F9"/>
    <w:rsid w:val="000151F4"/>
    <w:rsid w:val="00015715"/>
    <w:rsid w:val="00030A3F"/>
    <w:rsid w:val="000326C7"/>
    <w:rsid w:val="000364AD"/>
    <w:rsid w:val="000379F9"/>
    <w:rsid w:val="00042F71"/>
    <w:rsid w:val="00046D69"/>
    <w:rsid w:val="000530BA"/>
    <w:rsid w:val="00055950"/>
    <w:rsid w:val="00060582"/>
    <w:rsid w:val="00061920"/>
    <w:rsid w:val="00065BAB"/>
    <w:rsid w:val="00066415"/>
    <w:rsid w:val="00072774"/>
    <w:rsid w:val="000729F0"/>
    <w:rsid w:val="00072E20"/>
    <w:rsid w:val="00076745"/>
    <w:rsid w:val="00077056"/>
    <w:rsid w:val="00080D61"/>
    <w:rsid w:val="00081C11"/>
    <w:rsid w:val="0008427A"/>
    <w:rsid w:val="000843CF"/>
    <w:rsid w:val="0008486E"/>
    <w:rsid w:val="00087482"/>
    <w:rsid w:val="00091E41"/>
    <w:rsid w:val="00091FB9"/>
    <w:rsid w:val="000932B2"/>
    <w:rsid w:val="0009340E"/>
    <w:rsid w:val="000A25D3"/>
    <w:rsid w:val="000B2DC9"/>
    <w:rsid w:val="000B62D3"/>
    <w:rsid w:val="000C1D84"/>
    <w:rsid w:val="000C4ACB"/>
    <w:rsid w:val="000D0D0B"/>
    <w:rsid w:val="000D3B76"/>
    <w:rsid w:val="000D68E3"/>
    <w:rsid w:val="000D72E0"/>
    <w:rsid w:val="000F2DFD"/>
    <w:rsid w:val="000F3C6A"/>
    <w:rsid w:val="000F3C74"/>
    <w:rsid w:val="000F5C63"/>
    <w:rsid w:val="001005D7"/>
    <w:rsid w:val="00102D40"/>
    <w:rsid w:val="00102F3B"/>
    <w:rsid w:val="0010689A"/>
    <w:rsid w:val="00106C93"/>
    <w:rsid w:val="00106D5A"/>
    <w:rsid w:val="001163D8"/>
    <w:rsid w:val="00122AE6"/>
    <w:rsid w:val="00124502"/>
    <w:rsid w:val="00131AE0"/>
    <w:rsid w:val="001346B0"/>
    <w:rsid w:val="00134742"/>
    <w:rsid w:val="001357F0"/>
    <w:rsid w:val="00146E3C"/>
    <w:rsid w:val="00146FC6"/>
    <w:rsid w:val="00150B63"/>
    <w:rsid w:val="001544C9"/>
    <w:rsid w:val="001559FE"/>
    <w:rsid w:val="00156C6F"/>
    <w:rsid w:val="001639A0"/>
    <w:rsid w:val="00164EB4"/>
    <w:rsid w:val="0016584B"/>
    <w:rsid w:val="00165FD8"/>
    <w:rsid w:val="00172020"/>
    <w:rsid w:val="0017224D"/>
    <w:rsid w:val="0017361B"/>
    <w:rsid w:val="00175876"/>
    <w:rsid w:val="001768AB"/>
    <w:rsid w:val="00182562"/>
    <w:rsid w:val="00182CCC"/>
    <w:rsid w:val="001854A6"/>
    <w:rsid w:val="00190B93"/>
    <w:rsid w:val="00191D3C"/>
    <w:rsid w:val="00195166"/>
    <w:rsid w:val="001A0E71"/>
    <w:rsid w:val="001A15C4"/>
    <w:rsid w:val="001A478A"/>
    <w:rsid w:val="001A4B39"/>
    <w:rsid w:val="001A67A0"/>
    <w:rsid w:val="001B1FD8"/>
    <w:rsid w:val="001B2AC7"/>
    <w:rsid w:val="001B3A06"/>
    <w:rsid w:val="001B5455"/>
    <w:rsid w:val="001C1B96"/>
    <w:rsid w:val="001C22C5"/>
    <w:rsid w:val="001C5500"/>
    <w:rsid w:val="001D22B5"/>
    <w:rsid w:val="001D5EBF"/>
    <w:rsid w:val="001D625F"/>
    <w:rsid w:val="001E29B9"/>
    <w:rsid w:val="001E4B51"/>
    <w:rsid w:val="001E4C44"/>
    <w:rsid w:val="001E6901"/>
    <w:rsid w:val="001E770D"/>
    <w:rsid w:val="001E7D73"/>
    <w:rsid w:val="001F6BEE"/>
    <w:rsid w:val="00200ED4"/>
    <w:rsid w:val="00201E2C"/>
    <w:rsid w:val="00203D9E"/>
    <w:rsid w:val="0020724E"/>
    <w:rsid w:val="00207860"/>
    <w:rsid w:val="00211805"/>
    <w:rsid w:val="00215D9B"/>
    <w:rsid w:val="00230E0F"/>
    <w:rsid w:val="00231C61"/>
    <w:rsid w:val="00233002"/>
    <w:rsid w:val="00234CB5"/>
    <w:rsid w:val="002423AA"/>
    <w:rsid w:val="00244F59"/>
    <w:rsid w:val="00245150"/>
    <w:rsid w:val="00245DF3"/>
    <w:rsid w:val="00246C43"/>
    <w:rsid w:val="00246D03"/>
    <w:rsid w:val="00247335"/>
    <w:rsid w:val="00247790"/>
    <w:rsid w:val="00250A18"/>
    <w:rsid w:val="00250A47"/>
    <w:rsid w:val="00251134"/>
    <w:rsid w:val="00253788"/>
    <w:rsid w:val="002552C0"/>
    <w:rsid w:val="002577F1"/>
    <w:rsid w:val="0026001A"/>
    <w:rsid w:val="002668FC"/>
    <w:rsid w:val="00266FA2"/>
    <w:rsid w:val="002710A4"/>
    <w:rsid w:val="0027279A"/>
    <w:rsid w:val="00273D02"/>
    <w:rsid w:val="0027645F"/>
    <w:rsid w:val="00285BD1"/>
    <w:rsid w:val="00291CD2"/>
    <w:rsid w:val="0029205F"/>
    <w:rsid w:val="00295E1E"/>
    <w:rsid w:val="002A0B12"/>
    <w:rsid w:val="002A12C3"/>
    <w:rsid w:val="002A1ACD"/>
    <w:rsid w:val="002A31CA"/>
    <w:rsid w:val="002A58C8"/>
    <w:rsid w:val="002A6F3C"/>
    <w:rsid w:val="002B4647"/>
    <w:rsid w:val="002B4933"/>
    <w:rsid w:val="002B59A6"/>
    <w:rsid w:val="002B675D"/>
    <w:rsid w:val="002B6BCF"/>
    <w:rsid w:val="002B6D64"/>
    <w:rsid w:val="002C474C"/>
    <w:rsid w:val="002C4CB5"/>
    <w:rsid w:val="002C6128"/>
    <w:rsid w:val="002C6557"/>
    <w:rsid w:val="002D1538"/>
    <w:rsid w:val="002D34C0"/>
    <w:rsid w:val="002D446C"/>
    <w:rsid w:val="002D5561"/>
    <w:rsid w:val="002D6465"/>
    <w:rsid w:val="002E7A1F"/>
    <w:rsid w:val="002F3228"/>
    <w:rsid w:val="002F3558"/>
    <w:rsid w:val="002F3D28"/>
    <w:rsid w:val="002F7E0B"/>
    <w:rsid w:val="00302529"/>
    <w:rsid w:val="00316C5F"/>
    <w:rsid w:val="00317260"/>
    <w:rsid w:val="00320341"/>
    <w:rsid w:val="00324DCA"/>
    <w:rsid w:val="00324E70"/>
    <w:rsid w:val="00325631"/>
    <w:rsid w:val="00326DF4"/>
    <w:rsid w:val="0033011A"/>
    <w:rsid w:val="003302CC"/>
    <w:rsid w:val="00333F03"/>
    <w:rsid w:val="00336DB0"/>
    <w:rsid w:val="00337CEF"/>
    <w:rsid w:val="00350D97"/>
    <w:rsid w:val="0035525E"/>
    <w:rsid w:val="00355CE8"/>
    <w:rsid w:val="0035638E"/>
    <w:rsid w:val="00356EB3"/>
    <w:rsid w:val="003623F5"/>
    <w:rsid w:val="00366733"/>
    <w:rsid w:val="00366D34"/>
    <w:rsid w:val="003702C8"/>
    <w:rsid w:val="0037253D"/>
    <w:rsid w:val="00372DE4"/>
    <w:rsid w:val="00372ED2"/>
    <w:rsid w:val="00375815"/>
    <w:rsid w:val="00375B3E"/>
    <w:rsid w:val="00383280"/>
    <w:rsid w:val="0038402E"/>
    <w:rsid w:val="00386E05"/>
    <w:rsid w:val="0039190C"/>
    <w:rsid w:val="00391E2C"/>
    <w:rsid w:val="0039240E"/>
    <w:rsid w:val="003933A5"/>
    <w:rsid w:val="003963A6"/>
    <w:rsid w:val="00397C4C"/>
    <w:rsid w:val="003A031C"/>
    <w:rsid w:val="003A0A69"/>
    <w:rsid w:val="003A1BFD"/>
    <w:rsid w:val="003A3A1A"/>
    <w:rsid w:val="003A3EBE"/>
    <w:rsid w:val="003A4C46"/>
    <w:rsid w:val="003A4E48"/>
    <w:rsid w:val="003A7034"/>
    <w:rsid w:val="003B1406"/>
    <w:rsid w:val="003B3CC7"/>
    <w:rsid w:val="003B47B3"/>
    <w:rsid w:val="003B4B33"/>
    <w:rsid w:val="003C6EBB"/>
    <w:rsid w:val="003D0278"/>
    <w:rsid w:val="003D0F5A"/>
    <w:rsid w:val="003E605B"/>
    <w:rsid w:val="003E614E"/>
    <w:rsid w:val="003F0C5D"/>
    <w:rsid w:val="003F1B60"/>
    <w:rsid w:val="003F1F8F"/>
    <w:rsid w:val="003F2FC8"/>
    <w:rsid w:val="003F4ED4"/>
    <w:rsid w:val="003F7C4B"/>
    <w:rsid w:val="00413F9E"/>
    <w:rsid w:val="00413FD3"/>
    <w:rsid w:val="004154DC"/>
    <w:rsid w:val="004166E9"/>
    <w:rsid w:val="00420865"/>
    <w:rsid w:val="00424360"/>
    <w:rsid w:val="00425513"/>
    <w:rsid w:val="00426EE2"/>
    <w:rsid w:val="00427989"/>
    <w:rsid w:val="00430185"/>
    <w:rsid w:val="00432150"/>
    <w:rsid w:val="00433D17"/>
    <w:rsid w:val="00440D13"/>
    <w:rsid w:val="004413A4"/>
    <w:rsid w:val="00444FAB"/>
    <w:rsid w:val="00452E29"/>
    <w:rsid w:val="00453248"/>
    <w:rsid w:val="00457D25"/>
    <w:rsid w:val="00460D75"/>
    <w:rsid w:val="00462996"/>
    <w:rsid w:val="00462BD9"/>
    <w:rsid w:val="00463166"/>
    <w:rsid w:val="00464D4C"/>
    <w:rsid w:val="00471C95"/>
    <w:rsid w:val="004725C1"/>
    <w:rsid w:val="0047525C"/>
    <w:rsid w:val="004754ED"/>
    <w:rsid w:val="00477735"/>
    <w:rsid w:val="0048011D"/>
    <w:rsid w:val="00480E61"/>
    <w:rsid w:val="00485B8B"/>
    <w:rsid w:val="00486323"/>
    <w:rsid w:val="004872EC"/>
    <w:rsid w:val="00487BB7"/>
    <w:rsid w:val="00490E38"/>
    <w:rsid w:val="00494DB2"/>
    <w:rsid w:val="004953F7"/>
    <w:rsid w:val="004954A7"/>
    <w:rsid w:val="004958C7"/>
    <w:rsid w:val="004A27D7"/>
    <w:rsid w:val="004B0409"/>
    <w:rsid w:val="004B19FF"/>
    <w:rsid w:val="004B3233"/>
    <w:rsid w:val="004B521E"/>
    <w:rsid w:val="004B5C0E"/>
    <w:rsid w:val="004C51C6"/>
    <w:rsid w:val="004D26C4"/>
    <w:rsid w:val="004D3A08"/>
    <w:rsid w:val="004D3B2A"/>
    <w:rsid w:val="004D5AD2"/>
    <w:rsid w:val="004D66B9"/>
    <w:rsid w:val="004E11FA"/>
    <w:rsid w:val="004E548A"/>
    <w:rsid w:val="004E6A6F"/>
    <w:rsid w:val="00500463"/>
    <w:rsid w:val="00503577"/>
    <w:rsid w:val="0050470D"/>
    <w:rsid w:val="005060E8"/>
    <w:rsid w:val="00507D64"/>
    <w:rsid w:val="00511142"/>
    <w:rsid w:val="00513AD3"/>
    <w:rsid w:val="005177E4"/>
    <w:rsid w:val="00520A2E"/>
    <w:rsid w:val="00520AE5"/>
    <w:rsid w:val="00520CDB"/>
    <w:rsid w:val="00521421"/>
    <w:rsid w:val="00524316"/>
    <w:rsid w:val="005332DB"/>
    <w:rsid w:val="005413BF"/>
    <w:rsid w:val="0054636B"/>
    <w:rsid w:val="00550BA4"/>
    <w:rsid w:val="00551CDF"/>
    <w:rsid w:val="005530AA"/>
    <w:rsid w:val="005573FD"/>
    <w:rsid w:val="00557CEB"/>
    <w:rsid w:val="0056516C"/>
    <w:rsid w:val="005664AE"/>
    <w:rsid w:val="00567177"/>
    <w:rsid w:val="00567CD1"/>
    <w:rsid w:val="00570A07"/>
    <w:rsid w:val="00570A9A"/>
    <w:rsid w:val="00571F9F"/>
    <w:rsid w:val="00576DE5"/>
    <w:rsid w:val="0058331F"/>
    <w:rsid w:val="00585BA4"/>
    <w:rsid w:val="00586023"/>
    <w:rsid w:val="005875C6"/>
    <w:rsid w:val="00587B50"/>
    <w:rsid w:val="005907F7"/>
    <w:rsid w:val="00591DDA"/>
    <w:rsid w:val="0059635A"/>
    <w:rsid w:val="005A2B8E"/>
    <w:rsid w:val="005A2D6B"/>
    <w:rsid w:val="005A3530"/>
    <w:rsid w:val="005A6147"/>
    <w:rsid w:val="005B38D6"/>
    <w:rsid w:val="005B5754"/>
    <w:rsid w:val="005B7358"/>
    <w:rsid w:val="005B781E"/>
    <w:rsid w:val="005B7AEE"/>
    <w:rsid w:val="005C14DE"/>
    <w:rsid w:val="005C29D5"/>
    <w:rsid w:val="005C2A77"/>
    <w:rsid w:val="005D323F"/>
    <w:rsid w:val="005D4946"/>
    <w:rsid w:val="005D4BDC"/>
    <w:rsid w:val="005D6612"/>
    <w:rsid w:val="005D723C"/>
    <w:rsid w:val="005E0109"/>
    <w:rsid w:val="005E0207"/>
    <w:rsid w:val="005E7B76"/>
    <w:rsid w:val="005F1B01"/>
    <w:rsid w:val="005F262C"/>
    <w:rsid w:val="005F2ADC"/>
    <w:rsid w:val="00601B1B"/>
    <w:rsid w:val="006073C2"/>
    <w:rsid w:val="0061453D"/>
    <w:rsid w:val="0061547F"/>
    <w:rsid w:val="00615A08"/>
    <w:rsid w:val="00620D57"/>
    <w:rsid w:val="00620FA8"/>
    <w:rsid w:val="00621189"/>
    <w:rsid w:val="0062300F"/>
    <w:rsid w:val="00624A12"/>
    <w:rsid w:val="00625D7C"/>
    <w:rsid w:val="0063422E"/>
    <w:rsid w:val="0063496B"/>
    <w:rsid w:val="00641B1C"/>
    <w:rsid w:val="00642036"/>
    <w:rsid w:val="00647258"/>
    <w:rsid w:val="00647CCC"/>
    <w:rsid w:val="0065275B"/>
    <w:rsid w:val="00654949"/>
    <w:rsid w:val="00654E8C"/>
    <w:rsid w:val="00656CD8"/>
    <w:rsid w:val="00660A58"/>
    <w:rsid w:val="00663E40"/>
    <w:rsid w:val="006672C9"/>
    <w:rsid w:val="0067269B"/>
    <w:rsid w:val="006835F2"/>
    <w:rsid w:val="006840B6"/>
    <w:rsid w:val="00686B37"/>
    <w:rsid w:val="006874D4"/>
    <w:rsid w:val="00693838"/>
    <w:rsid w:val="00693DB1"/>
    <w:rsid w:val="006947B1"/>
    <w:rsid w:val="00697204"/>
    <w:rsid w:val="006A6075"/>
    <w:rsid w:val="006A7580"/>
    <w:rsid w:val="006B009F"/>
    <w:rsid w:val="006B12E8"/>
    <w:rsid w:val="006B16FF"/>
    <w:rsid w:val="006B2429"/>
    <w:rsid w:val="006B4726"/>
    <w:rsid w:val="006B4734"/>
    <w:rsid w:val="006B5E0F"/>
    <w:rsid w:val="006B6427"/>
    <w:rsid w:val="006C2EB3"/>
    <w:rsid w:val="006D2600"/>
    <w:rsid w:val="006E1522"/>
    <w:rsid w:val="006E4E7C"/>
    <w:rsid w:val="006F1307"/>
    <w:rsid w:val="006F389B"/>
    <w:rsid w:val="006F44C0"/>
    <w:rsid w:val="006F4E2E"/>
    <w:rsid w:val="006F4F67"/>
    <w:rsid w:val="006F756F"/>
    <w:rsid w:val="006F7E10"/>
    <w:rsid w:val="0070029F"/>
    <w:rsid w:val="00703CC7"/>
    <w:rsid w:val="007057B0"/>
    <w:rsid w:val="00707AB3"/>
    <w:rsid w:val="007102F3"/>
    <w:rsid w:val="00710BCC"/>
    <w:rsid w:val="007130FC"/>
    <w:rsid w:val="007134CE"/>
    <w:rsid w:val="007159B3"/>
    <w:rsid w:val="00715C5D"/>
    <w:rsid w:val="00715C68"/>
    <w:rsid w:val="00720144"/>
    <w:rsid w:val="007229AA"/>
    <w:rsid w:val="00725550"/>
    <w:rsid w:val="0072587F"/>
    <w:rsid w:val="00725C99"/>
    <w:rsid w:val="00731DF4"/>
    <w:rsid w:val="00733241"/>
    <w:rsid w:val="0073424E"/>
    <w:rsid w:val="007344F4"/>
    <w:rsid w:val="00735079"/>
    <w:rsid w:val="00735630"/>
    <w:rsid w:val="0073592C"/>
    <w:rsid w:val="00740053"/>
    <w:rsid w:val="007412E6"/>
    <w:rsid w:val="00745ACA"/>
    <w:rsid w:val="007511A7"/>
    <w:rsid w:val="00751857"/>
    <w:rsid w:val="00751EE5"/>
    <w:rsid w:val="0075442C"/>
    <w:rsid w:val="00755C44"/>
    <w:rsid w:val="0075642B"/>
    <w:rsid w:val="0076505D"/>
    <w:rsid w:val="00765A07"/>
    <w:rsid w:val="00765D9C"/>
    <w:rsid w:val="00765DB3"/>
    <w:rsid w:val="00767158"/>
    <w:rsid w:val="00770F08"/>
    <w:rsid w:val="007748DC"/>
    <w:rsid w:val="007755F8"/>
    <w:rsid w:val="007773D2"/>
    <w:rsid w:val="00781664"/>
    <w:rsid w:val="0078262A"/>
    <w:rsid w:val="00783BC9"/>
    <w:rsid w:val="00784E4D"/>
    <w:rsid w:val="0078611C"/>
    <w:rsid w:val="007876D6"/>
    <w:rsid w:val="00792552"/>
    <w:rsid w:val="0079321F"/>
    <w:rsid w:val="00795D4D"/>
    <w:rsid w:val="00796387"/>
    <w:rsid w:val="007969A0"/>
    <w:rsid w:val="007A50E1"/>
    <w:rsid w:val="007B6C98"/>
    <w:rsid w:val="007C3CCE"/>
    <w:rsid w:val="007C461A"/>
    <w:rsid w:val="007C6B6F"/>
    <w:rsid w:val="007D0D11"/>
    <w:rsid w:val="007D383A"/>
    <w:rsid w:val="007D4DF1"/>
    <w:rsid w:val="007D58D2"/>
    <w:rsid w:val="007E02BC"/>
    <w:rsid w:val="007E092E"/>
    <w:rsid w:val="007E3407"/>
    <w:rsid w:val="007E54D1"/>
    <w:rsid w:val="007E640E"/>
    <w:rsid w:val="007F005B"/>
    <w:rsid w:val="007F115C"/>
    <w:rsid w:val="007F24B3"/>
    <w:rsid w:val="007F2A13"/>
    <w:rsid w:val="007F3120"/>
    <w:rsid w:val="007F31EE"/>
    <w:rsid w:val="007F3995"/>
    <w:rsid w:val="007F3FCF"/>
    <w:rsid w:val="007F7CFB"/>
    <w:rsid w:val="0080332D"/>
    <w:rsid w:val="00803625"/>
    <w:rsid w:val="008040D1"/>
    <w:rsid w:val="008048F2"/>
    <w:rsid w:val="008079EF"/>
    <w:rsid w:val="00810859"/>
    <w:rsid w:val="008136F1"/>
    <w:rsid w:val="00814922"/>
    <w:rsid w:val="00816E62"/>
    <w:rsid w:val="00817FA9"/>
    <w:rsid w:val="008237F3"/>
    <w:rsid w:val="00834AE5"/>
    <w:rsid w:val="0083551B"/>
    <w:rsid w:val="00841465"/>
    <w:rsid w:val="00842E1E"/>
    <w:rsid w:val="00844D8F"/>
    <w:rsid w:val="00845BAA"/>
    <w:rsid w:val="008462C2"/>
    <w:rsid w:val="00846B92"/>
    <w:rsid w:val="00847AF5"/>
    <w:rsid w:val="00851515"/>
    <w:rsid w:val="0085404F"/>
    <w:rsid w:val="00855A8B"/>
    <w:rsid w:val="008579DB"/>
    <w:rsid w:val="00857DB9"/>
    <w:rsid w:val="00861888"/>
    <w:rsid w:val="00862DD2"/>
    <w:rsid w:val="00863DDD"/>
    <w:rsid w:val="00866A4F"/>
    <w:rsid w:val="0086781E"/>
    <w:rsid w:val="00870705"/>
    <w:rsid w:val="00872EB1"/>
    <w:rsid w:val="008747AF"/>
    <w:rsid w:val="008760C4"/>
    <w:rsid w:val="0087675B"/>
    <w:rsid w:val="0088083E"/>
    <w:rsid w:val="008812BA"/>
    <w:rsid w:val="0088565B"/>
    <w:rsid w:val="0088752E"/>
    <w:rsid w:val="00893AB3"/>
    <w:rsid w:val="00893F32"/>
    <w:rsid w:val="0089717C"/>
    <w:rsid w:val="008A040C"/>
    <w:rsid w:val="008A09D0"/>
    <w:rsid w:val="008A0D4E"/>
    <w:rsid w:val="008B00FE"/>
    <w:rsid w:val="008B1D45"/>
    <w:rsid w:val="008B2E89"/>
    <w:rsid w:val="008B600E"/>
    <w:rsid w:val="008B6272"/>
    <w:rsid w:val="008B68CD"/>
    <w:rsid w:val="008C2254"/>
    <w:rsid w:val="008C3BBC"/>
    <w:rsid w:val="008C653A"/>
    <w:rsid w:val="008C6842"/>
    <w:rsid w:val="008E1836"/>
    <w:rsid w:val="008E52C3"/>
    <w:rsid w:val="008E633A"/>
    <w:rsid w:val="008F1482"/>
    <w:rsid w:val="008F17D0"/>
    <w:rsid w:val="008F2F2B"/>
    <w:rsid w:val="008F64F5"/>
    <w:rsid w:val="009016D6"/>
    <w:rsid w:val="00904322"/>
    <w:rsid w:val="00910C10"/>
    <w:rsid w:val="00912AC2"/>
    <w:rsid w:val="00913030"/>
    <w:rsid w:val="00914581"/>
    <w:rsid w:val="0091483F"/>
    <w:rsid w:val="00916E3C"/>
    <w:rsid w:val="0092467C"/>
    <w:rsid w:val="009247AC"/>
    <w:rsid w:val="009254D5"/>
    <w:rsid w:val="0093098C"/>
    <w:rsid w:val="00931A82"/>
    <w:rsid w:val="00931EF0"/>
    <w:rsid w:val="00933382"/>
    <w:rsid w:val="009338E0"/>
    <w:rsid w:val="00937534"/>
    <w:rsid w:val="009407BF"/>
    <w:rsid w:val="00940BC0"/>
    <w:rsid w:val="009431CC"/>
    <w:rsid w:val="0094493B"/>
    <w:rsid w:val="00945AF8"/>
    <w:rsid w:val="00945F44"/>
    <w:rsid w:val="00946055"/>
    <w:rsid w:val="00957414"/>
    <w:rsid w:val="00963860"/>
    <w:rsid w:val="00972C86"/>
    <w:rsid w:val="00974672"/>
    <w:rsid w:val="00976860"/>
    <w:rsid w:val="00976CC6"/>
    <w:rsid w:val="00983306"/>
    <w:rsid w:val="0098647F"/>
    <w:rsid w:val="0099017A"/>
    <w:rsid w:val="00991CC9"/>
    <w:rsid w:val="00993CB4"/>
    <w:rsid w:val="009A0786"/>
    <w:rsid w:val="009A6CE8"/>
    <w:rsid w:val="009B0186"/>
    <w:rsid w:val="009B71CD"/>
    <w:rsid w:val="009C0FC9"/>
    <w:rsid w:val="009C60E9"/>
    <w:rsid w:val="009D0376"/>
    <w:rsid w:val="009D12BF"/>
    <w:rsid w:val="009D2F91"/>
    <w:rsid w:val="009D4472"/>
    <w:rsid w:val="009E1112"/>
    <w:rsid w:val="009E254B"/>
    <w:rsid w:val="009E3F36"/>
    <w:rsid w:val="009E4A2A"/>
    <w:rsid w:val="009E4D6B"/>
    <w:rsid w:val="009F66D6"/>
    <w:rsid w:val="009F7948"/>
    <w:rsid w:val="00A035E1"/>
    <w:rsid w:val="00A035ED"/>
    <w:rsid w:val="00A07CE0"/>
    <w:rsid w:val="00A10FE5"/>
    <w:rsid w:val="00A111B0"/>
    <w:rsid w:val="00A11ADE"/>
    <w:rsid w:val="00A15CF3"/>
    <w:rsid w:val="00A16059"/>
    <w:rsid w:val="00A16808"/>
    <w:rsid w:val="00A16FEC"/>
    <w:rsid w:val="00A216EF"/>
    <w:rsid w:val="00A21771"/>
    <w:rsid w:val="00A23224"/>
    <w:rsid w:val="00A247A7"/>
    <w:rsid w:val="00A3053B"/>
    <w:rsid w:val="00A33807"/>
    <w:rsid w:val="00A3393C"/>
    <w:rsid w:val="00A43AFE"/>
    <w:rsid w:val="00A47256"/>
    <w:rsid w:val="00A47D02"/>
    <w:rsid w:val="00A53F05"/>
    <w:rsid w:val="00A54AE9"/>
    <w:rsid w:val="00A5637B"/>
    <w:rsid w:val="00A5784A"/>
    <w:rsid w:val="00A5787E"/>
    <w:rsid w:val="00A6096E"/>
    <w:rsid w:val="00A64CF4"/>
    <w:rsid w:val="00A70868"/>
    <w:rsid w:val="00A745E8"/>
    <w:rsid w:val="00A76C10"/>
    <w:rsid w:val="00A76D26"/>
    <w:rsid w:val="00A86278"/>
    <w:rsid w:val="00A868F0"/>
    <w:rsid w:val="00A86E43"/>
    <w:rsid w:val="00A92059"/>
    <w:rsid w:val="00A9561A"/>
    <w:rsid w:val="00A97F03"/>
    <w:rsid w:val="00AA29C7"/>
    <w:rsid w:val="00AA66C1"/>
    <w:rsid w:val="00AB191B"/>
    <w:rsid w:val="00AB59C0"/>
    <w:rsid w:val="00AB789D"/>
    <w:rsid w:val="00AC03A3"/>
    <w:rsid w:val="00AC59D0"/>
    <w:rsid w:val="00AC7DAF"/>
    <w:rsid w:val="00AD034C"/>
    <w:rsid w:val="00AD1DBC"/>
    <w:rsid w:val="00AD30F8"/>
    <w:rsid w:val="00AD3BBB"/>
    <w:rsid w:val="00AD4E22"/>
    <w:rsid w:val="00AD65C4"/>
    <w:rsid w:val="00AD69C2"/>
    <w:rsid w:val="00AD6ADD"/>
    <w:rsid w:val="00AE2EAF"/>
    <w:rsid w:val="00AE6208"/>
    <w:rsid w:val="00AE71DC"/>
    <w:rsid w:val="00AF5D50"/>
    <w:rsid w:val="00AF68C7"/>
    <w:rsid w:val="00B01C2E"/>
    <w:rsid w:val="00B073EB"/>
    <w:rsid w:val="00B14532"/>
    <w:rsid w:val="00B1751F"/>
    <w:rsid w:val="00B23E55"/>
    <w:rsid w:val="00B255E8"/>
    <w:rsid w:val="00B262E2"/>
    <w:rsid w:val="00B3079F"/>
    <w:rsid w:val="00B36DD7"/>
    <w:rsid w:val="00B40172"/>
    <w:rsid w:val="00B41FE3"/>
    <w:rsid w:val="00B42E0E"/>
    <w:rsid w:val="00B440C7"/>
    <w:rsid w:val="00B4486C"/>
    <w:rsid w:val="00B45F16"/>
    <w:rsid w:val="00B5006E"/>
    <w:rsid w:val="00B5087F"/>
    <w:rsid w:val="00B509C7"/>
    <w:rsid w:val="00B520D8"/>
    <w:rsid w:val="00B571FC"/>
    <w:rsid w:val="00B572BF"/>
    <w:rsid w:val="00B57961"/>
    <w:rsid w:val="00B6240C"/>
    <w:rsid w:val="00B71E57"/>
    <w:rsid w:val="00B73902"/>
    <w:rsid w:val="00B74A99"/>
    <w:rsid w:val="00B75FF5"/>
    <w:rsid w:val="00B824D2"/>
    <w:rsid w:val="00B83EFC"/>
    <w:rsid w:val="00B87DBC"/>
    <w:rsid w:val="00B9106C"/>
    <w:rsid w:val="00B91B73"/>
    <w:rsid w:val="00B93621"/>
    <w:rsid w:val="00B96936"/>
    <w:rsid w:val="00BA2B06"/>
    <w:rsid w:val="00BA6053"/>
    <w:rsid w:val="00BB2D4F"/>
    <w:rsid w:val="00BB4AC6"/>
    <w:rsid w:val="00BC3159"/>
    <w:rsid w:val="00BD03E2"/>
    <w:rsid w:val="00BD25AE"/>
    <w:rsid w:val="00BD5386"/>
    <w:rsid w:val="00BD61C9"/>
    <w:rsid w:val="00BD6FA8"/>
    <w:rsid w:val="00BD76FE"/>
    <w:rsid w:val="00BE4782"/>
    <w:rsid w:val="00BF0AE7"/>
    <w:rsid w:val="00BF268B"/>
    <w:rsid w:val="00BF3759"/>
    <w:rsid w:val="00BF3B28"/>
    <w:rsid w:val="00C00C4C"/>
    <w:rsid w:val="00C02FD5"/>
    <w:rsid w:val="00C0475C"/>
    <w:rsid w:val="00C04DB3"/>
    <w:rsid w:val="00C059A6"/>
    <w:rsid w:val="00C10F16"/>
    <w:rsid w:val="00C11552"/>
    <w:rsid w:val="00C11C62"/>
    <w:rsid w:val="00C126D2"/>
    <w:rsid w:val="00C1448B"/>
    <w:rsid w:val="00C14B6F"/>
    <w:rsid w:val="00C154B7"/>
    <w:rsid w:val="00C168BD"/>
    <w:rsid w:val="00C23252"/>
    <w:rsid w:val="00C26958"/>
    <w:rsid w:val="00C30018"/>
    <w:rsid w:val="00C3296F"/>
    <w:rsid w:val="00C332C4"/>
    <w:rsid w:val="00C352E4"/>
    <w:rsid w:val="00C354D3"/>
    <w:rsid w:val="00C43805"/>
    <w:rsid w:val="00C462F8"/>
    <w:rsid w:val="00C477FA"/>
    <w:rsid w:val="00C546D6"/>
    <w:rsid w:val="00C5726C"/>
    <w:rsid w:val="00C57508"/>
    <w:rsid w:val="00C5774F"/>
    <w:rsid w:val="00C613BA"/>
    <w:rsid w:val="00C61DE2"/>
    <w:rsid w:val="00C640B8"/>
    <w:rsid w:val="00C6419E"/>
    <w:rsid w:val="00C66A08"/>
    <w:rsid w:val="00C67D54"/>
    <w:rsid w:val="00C724DA"/>
    <w:rsid w:val="00C73711"/>
    <w:rsid w:val="00C75A11"/>
    <w:rsid w:val="00C7642C"/>
    <w:rsid w:val="00C76E7D"/>
    <w:rsid w:val="00C8193C"/>
    <w:rsid w:val="00C82158"/>
    <w:rsid w:val="00C8638E"/>
    <w:rsid w:val="00C961A7"/>
    <w:rsid w:val="00C96E32"/>
    <w:rsid w:val="00CA2725"/>
    <w:rsid w:val="00CA57E3"/>
    <w:rsid w:val="00CB59EF"/>
    <w:rsid w:val="00CC0F7C"/>
    <w:rsid w:val="00CC15A7"/>
    <w:rsid w:val="00CC30D3"/>
    <w:rsid w:val="00CD0A2C"/>
    <w:rsid w:val="00CD2950"/>
    <w:rsid w:val="00CD439B"/>
    <w:rsid w:val="00CE24F0"/>
    <w:rsid w:val="00CE32E2"/>
    <w:rsid w:val="00CE3808"/>
    <w:rsid w:val="00CF2D01"/>
    <w:rsid w:val="00CF5285"/>
    <w:rsid w:val="00CF76CD"/>
    <w:rsid w:val="00D018D9"/>
    <w:rsid w:val="00D03A9F"/>
    <w:rsid w:val="00D05356"/>
    <w:rsid w:val="00D055FA"/>
    <w:rsid w:val="00D06682"/>
    <w:rsid w:val="00D11A58"/>
    <w:rsid w:val="00D126C3"/>
    <w:rsid w:val="00D13ACA"/>
    <w:rsid w:val="00D167F3"/>
    <w:rsid w:val="00D1773E"/>
    <w:rsid w:val="00D2204D"/>
    <w:rsid w:val="00D22C0D"/>
    <w:rsid w:val="00D23017"/>
    <w:rsid w:val="00D263D1"/>
    <w:rsid w:val="00D26A4D"/>
    <w:rsid w:val="00D2710A"/>
    <w:rsid w:val="00D36C3F"/>
    <w:rsid w:val="00D37726"/>
    <w:rsid w:val="00D44A4D"/>
    <w:rsid w:val="00D463CB"/>
    <w:rsid w:val="00D53652"/>
    <w:rsid w:val="00D600A7"/>
    <w:rsid w:val="00D714C0"/>
    <w:rsid w:val="00D773A7"/>
    <w:rsid w:val="00D803BB"/>
    <w:rsid w:val="00D825B1"/>
    <w:rsid w:val="00D867F7"/>
    <w:rsid w:val="00D87312"/>
    <w:rsid w:val="00D90355"/>
    <w:rsid w:val="00D91EB1"/>
    <w:rsid w:val="00D9203A"/>
    <w:rsid w:val="00D93202"/>
    <w:rsid w:val="00D95963"/>
    <w:rsid w:val="00D968CC"/>
    <w:rsid w:val="00DA01FB"/>
    <w:rsid w:val="00DA3206"/>
    <w:rsid w:val="00DA62A5"/>
    <w:rsid w:val="00DA7522"/>
    <w:rsid w:val="00DA7F03"/>
    <w:rsid w:val="00DB3605"/>
    <w:rsid w:val="00DB440C"/>
    <w:rsid w:val="00DB5C0A"/>
    <w:rsid w:val="00DB6E45"/>
    <w:rsid w:val="00DC22B0"/>
    <w:rsid w:val="00DC7CA8"/>
    <w:rsid w:val="00DD0E2F"/>
    <w:rsid w:val="00DD12EF"/>
    <w:rsid w:val="00DD1340"/>
    <w:rsid w:val="00DD38C6"/>
    <w:rsid w:val="00DD6109"/>
    <w:rsid w:val="00DE0682"/>
    <w:rsid w:val="00DE4EB8"/>
    <w:rsid w:val="00DE7225"/>
    <w:rsid w:val="00DE7C04"/>
    <w:rsid w:val="00DF0C43"/>
    <w:rsid w:val="00DF152F"/>
    <w:rsid w:val="00DF202D"/>
    <w:rsid w:val="00DF251D"/>
    <w:rsid w:val="00DF3D63"/>
    <w:rsid w:val="00DF6766"/>
    <w:rsid w:val="00E01CE2"/>
    <w:rsid w:val="00E025FC"/>
    <w:rsid w:val="00E13EA0"/>
    <w:rsid w:val="00E15FCC"/>
    <w:rsid w:val="00E23193"/>
    <w:rsid w:val="00E31F15"/>
    <w:rsid w:val="00E35874"/>
    <w:rsid w:val="00E42CB6"/>
    <w:rsid w:val="00E458A5"/>
    <w:rsid w:val="00E4728C"/>
    <w:rsid w:val="00E5219D"/>
    <w:rsid w:val="00E543C2"/>
    <w:rsid w:val="00E54CA9"/>
    <w:rsid w:val="00E54F5B"/>
    <w:rsid w:val="00E63100"/>
    <w:rsid w:val="00E6377A"/>
    <w:rsid w:val="00E65DF5"/>
    <w:rsid w:val="00E66067"/>
    <w:rsid w:val="00E660F4"/>
    <w:rsid w:val="00E7264C"/>
    <w:rsid w:val="00E7612B"/>
    <w:rsid w:val="00E761AD"/>
    <w:rsid w:val="00E81C1C"/>
    <w:rsid w:val="00E84007"/>
    <w:rsid w:val="00E91D09"/>
    <w:rsid w:val="00E9244E"/>
    <w:rsid w:val="00E96CEA"/>
    <w:rsid w:val="00EA1D69"/>
    <w:rsid w:val="00EA2EDE"/>
    <w:rsid w:val="00EA3100"/>
    <w:rsid w:val="00EA3D61"/>
    <w:rsid w:val="00EB24A8"/>
    <w:rsid w:val="00EB3CA6"/>
    <w:rsid w:val="00EB47F4"/>
    <w:rsid w:val="00EB5460"/>
    <w:rsid w:val="00EB6CDA"/>
    <w:rsid w:val="00EC0C2D"/>
    <w:rsid w:val="00EC303E"/>
    <w:rsid w:val="00EC51CC"/>
    <w:rsid w:val="00EC6808"/>
    <w:rsid w:val="00ED2E52"/>
    <w:rsid w:val="00ED3EB3"/>
    <w:rsid w:val="00EE0E37"/>
    <w:rsid w:val="00EE1C0C"/>
    <w:rsid w:val="00EE1FB4"/>
    <w:rsid w:val="00EF0848"/>
    <w:rsid w:val="00EF2BF7"/>
    <w:rsid w:val="00EF6C6B"/>
    <w:rsid w:val="00F000E5"/>
    <w:rsid w:val="00F0787D"/>
    <w:rsid w:val="00F13622"/>
    <w:rsid w:val="00F16268"/>
    <w:rsid w:val="00F20363"/>
    <w:rsid w:val="00F22846"/>
    <w:rsid w:val="00F25EFA"/>
    <w:rsid w:val="00F26090"/>
    <w:rsid w:val="00F26898"/>
    <w:rsid w:val="00F370D9"/>
    <w:rsid w:val="00F41D71"/>
    <w:rsid w:val="00F47BFF"/>
    <w:rsid w:val="00F603D8"/>
    <w:rsid w:val="00F630D7"/>
    <w:rsid w:val="00F6474A"/>
    <w:rsid w:val="00F65450"/>
    <w:rsid w:val="00F65F66"/>
    <w:rsid w:val="00F670C3"/>
    <w:rsid w:val="00F70BC1"/>
    <w:rsid w:val="00F718CB"/>
    <w:rsid w:val="00F74FF2"/>
    <w:rsid w:val="00F765EA"/>
    <w:rsid w:val="00F7747B"/>
    <w:rsid w:val="00F7781D"/>
    <w:rsid w:val="00F84278"/>
    <w:rsid w:val="00F8465E"/>
    <w:rsid w:val="00F91522"/>
    <w:rsid w:val="00F94698"/>
    <w:rsid w:val="00F97BB8"/>
    <w:rsid w:val="00FA0FBE"/>
    <w:rsid w:val="00FA39FC"/>
    <w:rsid w:val="00FB03DD"/>
    <w:rsid w:val="00FB06E7"/>
    <w:rsid w:val="00FB14A9"/>
    <w:rsid w:val="00FB2869"/>
    <w:rsid w:val="00FB289B"/>
    <w:rsid w:val="00FB4BE6"/>
    <w:rsid w:val="00FB4F46"/>
    <w:rsid w:val="00FC1E31"/>
    <w:rsid w:val="00FC409A"/>
    <w:rsid w:val="00FD1C30"/>
    <w:rsid w:val="00FD21F5"/>
    <w:rsid w:val="00FE3FC8"/>
    <w:rsid w:val="00FE5E08"/>
    <w:rsid w:val="00FE6006"/>
    <w:rsid w:val="00FF0646"/>
    <w:rsid w:val="00FF1229"/>
    <w:rsid w:val="00FF1603"/>
    <w:rsid w:val="00FF1E19"/>
    <w:rsid w:val="00FF2437"/>
    <w:rsid w:val="00FF5A92"/>
    <w:rsid w:val="057F7B51"/>
    <w:rsid w:val="05F6388F"/>
    <w:rsid w:val="06181F5C"/>
    <w:rsid w:val="06AE5D28"/>
    <w:rsid w:val="0814605D"/>
    <w:rsid w:val="0A62093A"/>
    <w:rsid w:val="0DED54D1"/>
    <w:rsid w:val="0E1846D8"/>
    <w:rsid w:val="100643E3"/>
    <w:rsid w:val="10AC56C2"/>
    <w:rsid w:val="13DF2607"/>
    <w:rsid w:val="149029BB"/>
    <w:rsid w:val="14DA11EA"/>
    <w:rsid w:val="14F014EB"/>
    <w:rsid w:val="165C519A"/>
    <w:rsid w:val="16DE3F6B"/>
    <w:rsid w:val="17A372F8"/>
    <w:rsid w:val="186D4012"/>
    <w:rsid w:val="196C3A7D"/>
    <w:rsid w:val="1BD25A4D"/>
    <w:rsid w:val="206B5BDE"/>
    <w:rsid w:val="20FB5424"/>
    <w:rsid w:val="223C1091"/>
    <w:rsid w:val="24A61B1D"/>
    <w:rsid w:val="24B35D59"/>
    <w:rsid w:val="257F4191"/>
    <w:rsid w:val="28460C38"/>
    <w:rsid w:val="29EA28D8"/>
    <w:rsid w:val="2A370342"/>
    <w:rsid w:val="2BE947FE"/>
    <w:rsid w:val="2D3D2D26"/>
    <w:rsid w:val="2F7C63C4"/>
    <w:rsid w:val="317F1A3B"/>
    <w:rsid w:val="32263D41"/>
    <w:rsid w:val="32EB2478"/>
    <w:rsid w:val="335D2261"/>
    <w:rsid w:val="33DB295E"/>
    <w:rsid w:val="35E23BE0"/>
    <w:rsid w:val="36753095"/>
    <w:rsid w:val="37B316E2"/>
    <w:rsid w:val="38484C8D"/>
    <w:rsid w:val="38CF0926"/>
    <w:rsid w:val="3DCC1954"/>
    <w:rsid w:val="3DDC2124"/>
    <w:rsid w:val="3DE051A8"/>
    <w:rsid w:val="431E67B9"/>
    <w:rsid w:val="48E25CA1"/>
    <w:rsid w:val="4C433D14"/>
    <w:rsid w:val="4DA05C4F"/>
    <w:rsid w:val="4FFC4173"/>
    <w:rsid w:val="50166E52"/>
    <w:rsid w:val="5265763C"/>
    <w:rsid w:val="5365596F"/>
    <w:rsid w:val="549D2D3D"/>
    <w:rsid w:val="561333A2"/>
    <w:rsid w:val="56E5097B"/>
    <w:rsid w:val="56ED519D"/>
    <w:rsid w:val="58430B54"/>
    <w:rsid w:val="58680809"/>
    <w:rsid w:val="58901B8B"/>
    <w:rsid w:val="58D95E3B"/>
    <w:rsid w:val="591E1589"/>
    <w:rsid w:val="59736E5F"/>
    <w:rsid w:val="5B0F7869"/>
    <w:rsid w:val="61BC7B05"/>
    <w:rsid w:val="62AE1050"/>
    <w:rsid w:val="650E623F"/>
    <w:rsid w:val="651F0AB8"/>
    <w:rsid w:val="65B72667"/>
    <w:rsid w:val="6AAC3709"/>
    <w:rsid w:val="6D986253"/>
    <w:rsid w:val="6F5F69AE"/>
    <w:rsid w:val="6F901A1B"/>
    <w:rsid w:val="6FCE3AD2"/>
    <w:rsid w:val="711F6CA1"/>
    <w:rsid w:val="71903BAF"/>
    <w:rsid w:val="71F8402F"/>
    <w:rsid w:val="73C37625"/>
    <w:rsid w:val="74C00593"/>
    <w:rsid w:val="77BB1BC4"/>
    <w:rsid w:val="784D30B2"/>
    <w:rsid w:val="788937A0"/>
    <w:rsid w:val="7DFF24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ocked="1"/>
    <w:lsdException w:qFormat="1" w:unhideWhenUsed="0" w:uiPriority="39" w:semiHidden="0" w:name="toc 2" w:locked="1"/>
    <w:lsdException w:qFormat="1" w:unhideWhenUsed="0" w:uiPriority="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ocked="1"/>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 w:cs="Times New Roman"/>
      <w:kern w:val="2"/>
      <w:sz w:val="32"/>
      <w:szCs w:val="32"/>
      <w:lang w:val="en-US" w:eastAsia="zh-CN" w:bidi="ar-SA"/>
    </w:rPr>
  </w:style>
  <w:style w:type="paragraph" w:styleId="2">
    <w:name w:val="heading 1"/>
    <w:basedOn w:val="1"/>
    <w:next w:val="1"/>
    <w:link w:val="26"/>
    <w:qFormat/>
    <w:locked/>
    <w:uiPriority w:val="0"/>
    <w:pPr>
      <w:keepNext/>
      <w:keepLines/>
      <w:spacing w:before="340" w:after="330" w:line="578" w:lineRule="auto"/>
      <w:outlineLvl w:val="0"/>
    </w:pPr>
    <w:rPr>
      <w:rFonts w:eastAsia="宋体"/>
      <w:b/>
      <w:bCs/>
      <w:kern w:val="44"/>
      <w:sz w:val="44"/>
      <w:szCs w:val="44"/>
    </w:rPr>
  </w:style>
  <w:style w:type="paragraph" w:styleId="3">
    <w:name w:val="heading 2"/>
    <w:basedOn w:val="1"/>
    <w:next w:val="1"/>
    <w:link w:val="28"/>
    <w:qFormat/>
    <w:locked/>
    <w:uiPriority w:val="0"/>
    <w:pPr>
      <w:keepNext/>
      <w:keepLines/>
      <w:spacing w:before="260" w:after="260" w:line="416" w:lineRule="auto"/>
      <w:outlineLvl w:val="1"/>
    </w:pPr>
    <w:rPr>
      <w:rFonts w:ascii="Cambria" w:hAnsi="Cambria" w:eastAsia="宋体" w:cs="Cambria"/>
      <w:b/>
      <w:bCs/>
    </w:rPr>
  </w:style>
  <w:style w:type="paragraph" w:styleId="4">
    <w:name w:val="heading 3"/>
    <w:basedOn w:val="1"/>
    <w:next w:val="1"/>
    <w:link w:val="29"/>
    <w:qFormat/>
    <w:locked/>
    <w:uiPriority w:val="0"/>
    <w:pPr>
      <w:keepNext/>
      <w:keepLines/>
      <w:spacing w:before="260" w:after="260" w:line="416" w:lineRule="auto"/>
      <w:outlineLvl w:val="2"/>
    </w:pPr>
    <w:rPr>
      <w:rFonts w:eastAsia="宋体"/>
      <w:b/>
      <w:bCs/>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link w:val="43"/>
    <w:semiHidden/>
    <w:qFormat/>
    <w:uiPriority w:val="0"/>
    <w:pPr>
      <w:jc w:val="left"/>
    </w:pPr>
    <w:rPr>
      <w:rFonts w:eastAsia="宋体"/>
      <w:sz w:val="21"/>
      <w:szCs w:val="21"/>
    </w:rPr>
  </w:style>
  <w:style w:type="paragraph" w:styleId="7">
    <w:name w:val="Body Text"/>
    <w:basedOn w:val="1"/>
    <w:link w:val="38"/>
    <w:qFormat/>
    <w:uiPriority w:val="0"/>
    <w:pPr>
      <w:spacing w:after="120"/>
    </w:pPr>
  </w:style>
  <w:style w:type="paragraph" w:styleId="8">
    <w:name w:val="Body Text Indent"/>
    <w:basedOn w:val="1"/>
    <w:qFormat/>
    <w:uiPriority w:val="0"/>
    <w:pPr>
      <w:spacing w:after="120"/>
      <w:ind w:left="420" w:leftChars="200"/>
    </w:pPr>
  </w:style>
  <w:style w:type="paragraph" w:styleId="9">
    <w:name w:val="toc 3"/>
    <w:basedOn w:val="1"/>
    <w:next w:val="1"/>
    <w:semiHidden/>
    <w:qFormat/>
    <w:locked/>
    <w:uiPriority w:val="0"/>
    <w:pPr>
      <w:tabs>
        <w:tab w:val="right" w:leader="dot" w:pos="8296"/>
      </w:tabs>
      <w:ind w:left="840" w:leftChars="400"/>
    </w:pPr>
    <w:rPr>
      <w:rFonts w:eastAsia="宋体"/>
      <w:sz w:val="21"/>
      <w:szCs w:val="21"/>
    </w:rPr>
  </w:style>
  <w:style w:type="paragraph" w:styleId="10">
    <w:name w:val="Date"/>
    <w:basedOn w:val="1"/>
    <w:next w:val="1"/>
    <w:link w:val="30"/>
    <w:qFormat/>
    <w:uiPriority w:val="0"/>
    <w:pPr>
      <w:ind w:left="100" w:leftChars="2500"/>
    </w:pPr>
    <w:rPr>
      <w:rFonts w:ascii="仿宋_GB2312" w:eastAsia="仿宋_GB2312"/>
      <w:sz w:val="30"/>
    </w:rPr>
  </w:style>
  <w:style w:type="paragraph" w:styleId="11">
    <w:name w:val="Balloon Text"/>
    <w:basedOn w:val="1"/>
    <w:link w:val="42"/>
    <w:semiHidden/>
    <w:qFormat/>
    <w:uiPriority w:val="0"/>
    <w:rPr>
      <w:rFonts w:eastAsia="宋体"/>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32"/>
    <w:semiHidden/>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locked/>
    <w:uiPriority w:val="39"/>
    <w:pPr>
      <w:tabs>
        <w:tab w:val="right" w:leader="dot" w:pos="8296"/>
      </w:tabs>
      <w:spacing w:before="93"/>
      <w:jc w:val="center"/>
    </w:pPr>
    <w:rPr>
      <w:rFonts w:eastAsia="方正黑体_GBK"/>
      <w:bCs/>
      <w:color w:val="FF0000"/>
      <w:sz w:val="28"/>
      <w:szCs w:val="28"/>
    </w:rPr>
  </w:style>
  <w:style w:type="paragraph" w:styleId="15">
    <w:name w:val="Body Text Indent 3"/>
    <w:basedOn w:val="1"/>
    <w:qFormat/>
    <w:uiPriority w:val="0"/>
    <w:pPr>
      <w:ind w:firstLine="632" w:firstLineChars="200"/>
    </w:pPr>
    <w:rPr>
      <w:rFonts w:ascii="仿宋_GB2312" w:eastAsia="仿宋_GB2312"/>
      <w:u w:val="single"/>
    </w:rPr>
  </w:style>
  <w:style w:type="paragraph" w:styleId="16">
    <w:name w:val="toc 2"/>
    <w:basedOn w:val="1"/>
    <w:next w:val="1"/>
    <w:qFormat/>
    <w:locked/>
    <w:uiPriority w:val="39"/>
    <w:pPr>
      <w:tabs>
        <w:tab w:val="right" w:leader="dot" w:pos="8296"/>
      </w:tabs>
      <w:ind w:left="420" w:leftChars="200"/>
    </w:pPr>
    <w:rPr>
      <w:rFonts w:eastAsia="宋体"/>
      <w:sz w:val="21"/>
      <w:szCs w:val="21"/>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annotation subject"/>
    <w:basedOn w:val="6"/>
    <w:next w:val="6"/>
    <w:link w:val="44"/>
    <w:semiHidden/>
    <w:qFormat/>
    <w:uiPriority w:val="0"/>
    <w:rPr>
      <w:b/>
      <w:bCs/>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locked/>
    <w:uiPriority w:val="0"/>
    <w:rPr>
      <w:rFonts w:cs="Times New Roman"/>
      <w:b/>
      <w:bCs/>
    </w:rPr>
  </w:style>
  <w:style w:type="character" w:styleId="23">
    <w:name w:val="page number"/>
    <w:qFormat/>
    <w:uiPriority w:val="0"/>
    <w:rPr>
      <w:rFonts w:cs="Times New Roman"/>
    </w:rPr>
  </w:style>
  <w:style w:type="character" w:styleId="24">
    <w:name w:val="Hyperlink"/>
    <w:qFormat/>
    <w:uiPriority w:val="99"/>
    <w:rPr>
      <w:rFonts w:cs="Times New Roman"/>
      <w:color w:val="0000FF"/>
      <w:u w:val="single"/>
    </w:rPr>
  </w:style>
  <w:style w:type="character" w:styleId="25">
    <w:name w:val="annotation reference"/>
    <w:qFormat/>
    <w:uiPriority w:val="0"/>
    <w:rPr>
      <w:sz w:val="21"/>
      <w:szCs w:val="21"/>
    </w:rPr>
  </w:style>
  <w:style w:type="character" w:customStyle="1" w:styleId="26">
    <w:name w:val="标题 1 Char"/>
    <w:link w:val="2"/>
    <w:qFormat/>
    <w:locked/>
    <w:uiPriority w:val="0"/>
    <w:rPr>
      <w:rFonts w:eastAsia="宋体"/>
      <w:b/>
      <w:bCs/>
      <w:kern w:val="44"/>
      <w:sz w:val="44"/>
      <w:szCs w:val="44"/>
      <w:lang w:val="en-US" w:eastAsia="zh-CN" w:bidi="ar-SA"/>
    </w:rPr>
  </w:style>
  <w:style w:type="paragraph" w:customStyle="1" w:styleId="27">
    <w:name w:val="_Style 7"/>
    <w:basedOn w:val="1"/>
    <w:qFormat/>
    <w:uiPriority w:val="0"/>
    <w:pPr>
      <w:widowControl/>
      <w:snapToGrid w:val="0"/>
      <w:spacing w:line="240" w:lineRule="exact"/>
      <w:jc w:val="left"/>
    </w:pPr>
    <w:rPr>
      <w:rFonts w:ascii="Verdana" w:hAnsi="Verdana" w:eastAsia="宋体"/>
      <w:kern w:val="0"/>
      <w:sz w:val="20"/>
      <w:szCs w:val="20"/>
      <w:lang w:eastAsia="en-US"/>
    </w:rPr>
  </w:style>
  <w:style w:type="character" w:customStyle="1" w:styleId="28">
    <w:name w:val="标题 2 Char"/>
    <w:link w:val="3"/>
    <w:qFormat/>
    <w:locked/>
    <w:uiPriority w:val="0"/>
    <w:rPr>
      <w:rFonts w:ascii="Cambria" w:hAnsi="Cambria" w:eastAsia="宋体" w:cs="Cambria"/>
      <w:b/>
      <w:bCs/>
      <w:kern w:val="2"/>
      <w:sz w:val="32"/>
      <w:szCs w:val="32"/>
      <w:lang w:val="en-US" w:eastAsia="zh-CN" w:bidi="ar-SA"/>
    </w:rPr>
  </w:style>
  <w:style w:type="character" w:customStyle="1" w:styleId="29">
    <w:name w:val="标题 3 Char"/>
    <w:link w:val="4"/>
    <w:qFormat/>
    <w:locked/>
    <w:uiPriority w:val="0"/>
    <w:rPr>
      <w:rFonts w:eastAsia="宋体"/>
      <w:b/>
      <w:bCs/>
      <w:kern w:val="2"/>
      <w:sz w:val="32"/>
      <w:szCs w:val="32"/>
      <w:lang w:val="en-US" w:eastAsia="zh-CN" w:bidi="ar-SA"/>
    </w:rPr>
  </w:style>
  <w:style w:type="character" w:customStyle="1" w:styleId="30">
    <w:name w:val="日期 Char"/>
    <w:link w:val="10"/>
    <w:qFormat/>
    <w:locked/>
    <w:uiPriority w:val="0"/>
    <w:rPr>
      <w:rFonts w:ascii="仿宋_GB2312" w:hAnsi="Times New Roman" w:eastAsia="仿宋_GB2312" w:cs="Times New Roman"/>
      <w:sz w:val="32"/>
      <w:szCs w:val="32"/>
    </w:rPr>
  </w:style>
  <w:style w:type="character" w:customStyle="1" w:styleId="31">
    <w:name w:val="页脚 Char"/>
    <w:link w:val="12"/>
    <w:qFormat/>
    <w:locked/>
    <w:uiPriority w:val="0"/>
    <w:rPr>
      <w:rFonts w:ascii="Times New Roman" w:hAnsi="Times New Roman" w:eastAsia="方正仿宋" w:cs="Times New Roman"/>
      <w:sz w:val="18"/>
      <w:szCs w:val="18"/>
    </w:rPr>
  </w:style>
  <w:style w:type="character" w:customStyle="1" w:styleId="32">
    <w:name w:val="页眉 Char"/>
    <w:link w:val="13"/>
    <w:semiHidden/>
    <w:qFormat/>
    <w:locked/>
    <w:uiPriority w:val="0"/>
    <w:rPr>
      <w:rFonts w:ascii="Times New Roman" w:hAnsi="Times New Roman" w:eastAsia="方正仿宋" w:cs="Times New Roman"/>
      <w:sz w:val="18"/>
      <w:szCs w:val="18"/>
    </w:rPr>
  </w:style>
  <w:style w:type="paragraph" w:styleId="33">
    <w:name w:val="List Paragraph"/>
    <w:basedOn w:val="1"/>
    <w:qFormat/>
    <w:uiPriority w:val="0"/>
    <w:pPr>
      <w:ind w:firstLine="420" w:firstLineChars="200"/>
    </w:pPr>
    <w:rPr>
      <w:rFonts w:ascii="Calibri" w:hAnsi="Calibri" w:eastAsia="宋体"/>
      <w:sz w:val="21"/>
      <w:szCs w:val="22"/>
    </w:rPr>
  </w:style>
  <w:style w:type="paragraph" w:customStyle="1" w:styleId="34">
    <w:name w:val="列出段落1"/>
    <w:basedOn w:val="1"/>
    <w:qFormat/>
    <w:uiPriority w:val="0"/>
    <w:pPr>
      <w:ind w:firstLine="420" w:firstLineChars="200"/>
    </w:pPr>
    <w:rPr>
      <w:rFonts w:eastAsia="仿宋_GB2312"/>
    </w:rPr>
  </w:style>
  <w:style w:type="paragraph" w:customStyle="1" w:styleId="35">
    <w:name w:val="列出段落11"/>
    <w:basedOn w:val="1"/>
    <w:qFormat/>
    <w:uiPriority w:val="0"/>
    <w:pPr>
      <w:ind w:firstLine="420" w:firstLineChars="200"/>
    </w:pPr>
    <w:rPr>
      <w:rFonts w:eastAsia="宋体"/>
      <w:sz w:val="21"/>
      <w:szCs w:val="21"/>
    </w:rPr>
  </w:style>
  <w:style w:type="character" w:customStyle="1" w:styleId="36">
    <w:name w:val="Char Char2"/>
    <w:qFormat/>
    <w:uiPriority w:val="0"/>
    <w:rPr>
      <w:rFonts w:ascii="仿宋_GB2312" w:hAnsi="Times New Roman" w:eastAsia="仿宋_GB2312" w:cs="Times New Roman"/>
      <w:sz w:val="30"/>
      <w:szCs w:val="32"/>
    </w:rPr>
  </w:style>
  <w:style w:type="character" w:customStyle="1" w:styleId="37">
    <w:name w:val="Char Char4"/>
    <w:qFormat/>
    <w:locked/>
    <w:uiPriority w:val="0"/>
    <w:rPr>
      <w:rFonts w:eastAsia="宋体"/>
      <w:kern w:val="2"/>
      <w:sz w:val="18"/>
      <w:szCs w:val="18"/>
      <w:lang w:val="en-US" w:eastAsia="zh-CN"/>
    </w:rPr>
  </w:style>
  <w:style w:type="character" w:customStyle="1" w:styleId="38">
    <w:name w:val="正文文本 Char"/>
    <w:link w:val="7"/>
    <w:qFormat/>
    <w:locked/>
    <w:uiPriority w:val="0"/>
    <w:rPr>
      <w:rFonts w:eastAsia="方正仿宋"/>
      <w:kern w:val="2"/>
      <w:sz w:val="32"/>
      <w:szCs w:val="32"/>
      <w:lang w:val="en-US" w:eastAsia="zh-CN" w:bidi="ar-SA"/>
    </w:rPr>
  </w:style>
  <w:style w:type="character" w:customStyle="1" w:styleId="39">
    <w:name w:val="Footer Char1"/>
    <w:qFormat/>
    <w:locked/>
    <w:uiPriority w:val="0"/>
    <w:rPr>
      <w:sz w:val="18"/>
    </w:rPr>
  </w:style>
  <w:style w:type="paragraph" w:customStyle="1" w:styleId="40">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41">
    <w:name w:val="TOC 标题1"/>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character" w:customStyle="1" w:styleId="42">
    <w:name w:val="批注框文本 Char"/>
    <w:link w:val="11"/>
    <w:semiHidden/>
    <w:qFormat/>
    <w:locked/>
    <w:uiPriority w:val="0"/>
    <w:rPr>
      <w:rFonts w:eastAsia="宋体"/>
      <w:kern w:val="2"/>
      <w:sz w:val="18"/>
      <w:szCs w:val="18"/>
      <w:lang w:val="en-US" w:eastAsia="zh-CN" w:bidi="ar-SA"/>
    </w:rPr>
  </w:style>
  <w:style w:type="character" w:customStyle="1" w:styleId="43">
    <w:name w:val="批注文字 Char"/>
    <w:link w:val="6"/>
    <w:semiHidden/>
    <w:qFormat/>
    <w:locked/>
    <w:uiPriority w:val="0"/>
    <w:rPr>
      <w:rFonts w:eastAsia="宋体"/>
      <w:kern w:val="2"/>
      <w:sz w:val="21"/>
      <w:szCs w:val="21"/>
      <w:lang w:val="en-US" w:eastAsia="zh-CN" w:bidi="ar-SA"/>
    </w:rPr>
  </w:style>
  <w:style w:type="character" w:customStyle="1" w:styleId="44">
    <w:name w:val="批注主题 Char"/>
    <w:link w:val="18"/>
    <w:semiHidden/>
    <w:qFormat/>
    <w:locked/>
    <w:uiPriority w:val="0"/>
    <w:rPr>
      <w:rFonts w:eastAsia="宋体"/>
      <w:b/>
      <w:bCs/>
      <w:kern w:val="2"/>
      <w:sz w:val="21"/>
      <w:szCs w:val="21"/>
      <w:lang w:val="en-US" w:eastAsia="zh-CN" w:bidi="ar-SA"/>
    </w:rPr>
  </w:style>
  <w:style w:type="paragraph" w:customStyle="1" w:styleId="45">
    <w:name w:val="Char Char10"/>
    <w:basedOn w:val="1"/>
    <w:qFormat/>
    <w:uiPriority w:val="0"/>
    <w:pPr>
      <w:widowControl/>
      <w:snapToGrid w:val="0"/>
      <w:spacing w:line="240" w:lineRule="exact"/>
      <w:jc w:val="left"/>
    </w:pPr>
    <w:rPr>
      <w:rFonts w:ascii="Verdana" w:hAnsi="Verdana" w:eastAsia="宋体" w:cs="Verdana"/>
      <w:kern w:val="0"/>
      <w:sz w:val="20"/>
      <w:szCs w:val="20"/>
      <w:lang w:eastAsia="en-US"/>
    </w:rPr>
  </w:style>
  <w:style w:type="paragraph" w:customStyle="1" w:styleId="46">
    <w:name w:val="_Style 4"/>
    <w:basedOn w:val="1"/>
    <w:qFormat/>
    <w:uiPriority w:val="0"/>
    <w:pPr>
      <w:widowControl/>
      <w:snapToGrid w:val="0"/>
      <w:spacing w:line="240" w:lineRule="exact"/>
      <w:jc w:val="left"/>
    </w:pPr>
    <w:rPr>
      <w:rFonts w:ascii="Verdana" w:hAnsi="Verdana" w:eastAsia="宋体"/>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image" Target="media/image19.jpeg"/><Relationship Id="rId3" Type="http://schemas.openxmlformats.org/officeDocument/2006/relationships/footer" Target="footer1.xml"/><Relationship Id="rId29" Type="http://schemas.openxmlformats.org/officeDocument/2006/relationships/image" Target="media/image18.jpeg"/><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D:\&#38389;&#27427;&#33402;\&#20915;&#31639;\2022&#24180;\&#20915;&#31639;&#20844;&#24320;\&#22270;&#34920;&#29983;&#25104;&#65288;&#21442;&#32771;&#20351;&#29992;&#65289;.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38389;&#27427;&#33402;\&#20915;&#31639;\2022&#24180;\&#20915;&#31639;&#20844;&#24320;\&#22270;&#34920;&#29983;&#25104;&#65288;&#21442;&#32771;&#20351;&#29992;&#6528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38389;&#27427;&#33402;\&#20915;&#31639;\2022&#24180;\&#20915;&#31639;&#20844;&#24320;\&#22270;&#34920;&#29983;&#25104;&#65288;&#21442;&#32771;&#20351;&#29992;&#65289;.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38389;&#27427;&#33402;\&#20915;&#31639;\2022&#24180;\&#20915;&#31639;&#20844;&#24320;\&#22270;&#34920;&#29983;&#25104;&#65288;&#21442;&#32771;&#20351;&#29992;&#65289;.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38389;&#27427;&#33402;\&#20915;&#31639;\2022&#24180;\&#20915;&#31639;&#20844;&#24320;\&#22270;&#34920;&#29983;&#25104;&#65288;&#21442;&#32771;&#20351;&#29992;&#65289;.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38389;&#27427;&#33402;\&#20915;&#31639;\2022&#24180;\&#20915;&#31639;&#20844;&#24320;\&#22270;&#34920;&#29983;&#25104;&#65288;&#21442;&#32771;&#20351;&#29992;&#65289;.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9150943396226"/>
          <c:y val="0.0599078341013825"/>
          <c:w val="0.825471698113208"/>
          <c:h val="0.80184331797235"/>
        </c:manualLayout>
      </c:layout>
      <c:barChart>
        <c:barDir val="col"/>
        <c:grouping val="stacked"/>
        <c:varyColors val="0"/>
        <c:ser>
          <c:idx val="0"/>
          <c:order val="0"/>
          <c:invertIfNegative val="0"/>
          <c:dPt>
            <c:idx val="1"/>
            <c:invertIfNegative val="0"/>
            <c:bubble3D val="0"/>
            <c:explosion val="0"/>
            <c:spPr>
              <a:solidFill>
                <a:schemeClr val="accent1"/>
              </a:solidFill>
            </c:spPr>
          </c:dPt>
          <c:dLbls>
            <c:numFmt formatCode="#,##0.00;[Red]\-#,##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'[图表生成（参考使用）.xls]表2 图表生成'!$B$7:$C$7</c:f>
              <c:strCache>
                <c:ptCount val="2"/>
                <c:pt idx="0">
                  <c:v>2022年</c:v>
                </c:pt>
                <c:pt idx="1">
                  <c:v>2021年</c:v>
                </c:pt>
              </c:strCache>
            </c:strRef>
          </c:cat>
          <c:val>
            <c:numRef>
              <c:f>'[图表生成（参考使用）.xls]表2 图表生成'!$B$8:$C$8</c:f>
              <c:numCache>
                <c:formatCode>#,##0.00</c:formatCode>
                <c:ptCount val="2"/>
                <c:pt idx="0">
                  <c:v>12987.9</c:v>
                </c:pt>
                <c:pt idx="1">
                  <c:v>13505.66</c:v>
                </c:pt>
              </c:numCache>
            </c:numRef>
          </c:val>
        </c:ser>
        <c:dLbls>
          <c:showLegendKey val="0"/>
          <c:showVal val="0"/>
          <c:showCatName val="0"/>
          <c:showSerName val="0"/>
          <c:showPercent val="0"/>
          <c:showBubbleSize val="0"/>
        </c:dLbls>
        <c:gapWidth val="150"/>
        <c:overlap val="100"/>
        <c:axId val="488784576"/>
        <c:axId val="76225894"/>
      </c:barChart>
      <c:catAx>
        <c:axId val="488784576"/>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76225894"/>
        <c:crosses val="autoZero"/>
        <c:auto val="1"/>
        <c:lblAlgn val="ctr"/>
        <c:lblOffset val="100"/>
        <c:noMultiLvlLbl val="0"/>
      </c:catAx>
      <c:valAx>
        <c:axId val="76225894"/>
        <c:scaling>
          <c:orientation val="minMax"/>
        </c:scaling>
        <c:delete val="0"/>
        <c:axPos val="l"/>
        <c:majorGridlines>
          <c:spPr>
            <a:ln w="6350"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round/>
            </a:ln>
          </c:spPr>
        </c:majorGridlines>
        <c:numFmt formatCode="#,##0.00"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488784576"/>
        <c:crosses val="autoZero"/>
        <c:crossBetween val="between"/>
      </c:valAx>
    </c:plotArea>
    <c:plotVisOnly val="1"/>
    <c:dispBlanksAs val="gap"/>
    <c:showDLblsOverMax val="0"/>
  </c:chart>
  <c:txPr>
    <a:bodyPr wrap="square"/>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21100917431193"/>
          <c:y val="0.121569093018892"/>
          <c:w val="0.354128440366972"/>
          <c:h val="0.756865643633746"/>
        </c:manualLayout>
      </c:layout>
      <c:pieChart>
        <c:varyColors val="1"/>
        <c:ser>
          <c:idx val="0"/>
          <c:order val="0"/>
          <c:explosion val="0"/>
          <c:dPt>
            <c:idx val="0"/>
            <c:bubble3D val="0"/>
            <c:explosion val="0"/>
          </c:dPt>
          <c:dPt>
            <c:idx val="1"/>
            <c:bubble3D val="0"/>
            <c:explosion val="0"/>
          </c:dPt>
          <c:dPt>
            <c:idx val="2"/>
            <c:bubble3D val="0"/>
            <c:explosion val="0"/>
          </c:dPt>
          <c:dLbls>
            <c:dLbl>
              <c:idx val="0"/>
              <c:layout>
                <c:manualLayout>
                  <c:x val="0.141284403669725"/>
                  <c:y val="0.0918133129303749"/>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18348623853211"/>
                  <c:y val="0"/>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'[图表生成（参考使用）.xls]表2 图表生成'!$B$14:$D$14</c:f>
              <c:strCache>
                <c:ptCount val="3"/>
                <c:pt idx="0" c:formatCode="@">
                  <c:v>一般公共预算财政拨款收入</c:v>
                </c:pt>
                <c:pt idx="1" c:formatCode="@">
                  <c:v>事业收入</c:v>
                </c:pt>
                <c:pt idx="2" c:formatCode="@">
                  <c:v>其他收入</c:v>
                </c:pt>
              </c:strCache>
            </c:strRef>
          </c:cat>
          <c:val>
            <c:numRef>
              <c:f>'[图表生成（参考使用）.xls]表2 图表生成'!$B$15:$D$15</c:f>
              <c:numCache>
                <c:formatCode>#,##0.00_ </c:formatCode>
                <c:ptCount val="3"/>
                <c:pt idx="0">
                  <c:v>1743.44</c:v>
                </c:pt>
                <c:pt idx="1">
                  <c:v>9622.31</c:v>
                </c:pt>
                <c:pt idx="2" c:formatCode="#,##0.00">
                  <c:v>180.9</c:v>
                </c:pt>
              </c:numCache>
            </c:numRef>
          </c:val>
        </c:ser>
        <c:dLbls>
          <c:showLegendKey val="0"/>
          <c:showVal val="0"/>
          <c:showCatName val="0"/>
          <c:showSerName val="0"/>
          <c:showPercent val="0"/>
          <c:showBubbleSize val="0"/>
          <c:showLeaderLines val="1"/>
        </c:dLbls>
        <c:firstSliceAng val="0"/>
      </c:pieChart>
      <c:spPr>
        <a:noFill/>
        <a:ln w="3175">
          <a:noFill/>
        </a:ln>
      </c:spPr>
    </c:plotArea>
    <c:plotVisOnly val="1"/>
    <c:dispBlanksAs val="gap"/>
    <c:showDLblsOverMax val="0"/>
  </c:chart>
  <c:txPr>
    <a:bodyPr wrap="square"/>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floor>
    <c:sideWall>
      <c:thickness val="0"/>
    </c:sideWall>
    <c:backWall>
      <c:thickness val="0"/>
    </c:backWall>
    <c:plotArea>
      <c:layout>
        <c:manualLayout>
          <c:layoutTarget val="inner"/>
          <c:xMode val="edge"/>
          <c:yMode val="edge"/>
          <c:x val="0.21327967806841"/>
          <c:y val="0.122881355932203"/>
          <c:w val="0.573440643863179"/>
          <c:h val="0.754237288135593"/>
        </c:manualLayout>
      </c:layout>
      <c:pie3DChart>
        <c:varyColors val="1"/>
        <c:ser>
          <c:idx val="0"/>
          <c:order val="0"/>
          <c:explosion val="0"/>
          <c:dPt>
            <c:idx val="0"/>
            <c:bubble3D val="0"/>
            <c:explosion val="0"/>
          </c:dPt>
          <c:dPt>
            <c:idx val="1"/>
            <c:bubble3D val="0"/>
            <c:explosion val="0"/>
          </c:dPt>
          <c:dLbls>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'[图表生成（参考使用）.xls]表2 图表生成'!$B$22:$B$23</c:f>
              <c:strCache>
                <c:ptCount val="2"/>
                <c:pt idx="0">
                  <c:v>基本支出</c:v>
                </c:pt>
                <c:pt idx="1">
                  <c:v>项目支出</c:v>
                </c:pt>
              </c:strCache>
            </c:strRef>
          </c:cat>
          <c:val>
            <c:numRef>
              <c:f>'[图表生成（参考使用）.xls]表2 图表生成'!$C$22:$C$23</c:f>
              <c:numCache>
                <c:formatCode>#,##0.00</c:formatCode>
                <c:ptCount val="2"/>
                <c:pt idx="0">
                  <c:v>11978.72</c:v>
                </c:pt>
                <c:pt idx="1">
                  <c:v>1009.18</c:v>
                </c:pt>
              </c:numCache>
            </c:numRef>
          </c:val>
        </c:ser>
        <c:dLbls>
          <c:showLegendKey val="0"/>
          <c:showVal val="0"/>
          <c:showCatName val="0"/>
          <c:showSerName val="0"/>
          <c:showPercent val="0"/>
          <c:showBubbleSize val="0"/>
        </c:dLbls>
      </c:pie3DChart>
      <c:spPr>
        <a:noFill/>
        <a:ln w="3175">
          <a:noFill/>
        </a:ln>
      </c:spPr>
    </c:plotArea>
    <c:plotVisOnly val="1"/>
    <c:dispBlanksAs val="gap"/>
    <c:showDLblsOverMax val="0"/>
  </c:chart>
  <c:txPr>
    <a:bodyPr wrap="square"/>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36165577342"/>
          <c:y val="0.0582959641255605"/>
          <c:w val="0.843137254901961"/>
          <c:h val="0.807174887892377"/>
        </c:manualLayout>
      </c:layout>
      <c:barChart>
        <c:barDir val="col"/>
        <c:grouping val="stacked"/>
        <c:varyColors val="0"/>
        <c:ser>
          <c:idx val="0"/>
          <c:order val="0"/>
          <c:spPr>
            <a:solidFill>
              <a:schemeClr val="accent1"/>
            </a:solidFill>
          </c:spPr>
          <c:invertIfNegative val="0"/>
          <c:dLbls>
            <c:numFmt formatCode="#,##0.00;[Red]\-#,##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'[图表生成（参考使用）.xls]表2 图表生成'!$B$30:$C$30</c:f>
              <c:strCache>
                <c:ptCount val="2"/>
                <c:pt idx="0">
                  <c:v>2022年</c:v>
                </c:pt>
                <c:pt idx="1">
                  <c:v>2021年</c:v>
                </c:pt>
              </c:strCache>
            </c:strRef>
          </c:cat>
          <c:val>
            <c:numRef>
              <c:f>'[图表生成（参考使用）.xls]表2 图表生成'!$B$31:$C$31</c:f>
              <c:numCache>
                <c:formatCode>#,##0.00</c:formatCode>
                <c:ptCount val="2"/>
                <c:pt idx="0">
                  <c:v>1743.44</c:v>
                </c:pt>
                <c:pt idx="1">
                  <c:v>1523.52</c:v>
                </c:pt>
              </c:numCache>
            </c:numRef>
          </c:val>
        </c:ser>
        <c:dLbls>
          <c:showLegendKey val="0"/>
          <c:showVal val="0"/>
          <c:showCatName val="0"/>
          <c:showSerName val="0"/>
          <c:showPercent val="0"/>
          <c:showBubbleSize val="0"/>
        </c:dLbls>
        <c:gapWidth val="150"/>
        <c:overlap val="100"/>
        <c:axId val="717620959"/>
        <c:axId val="198310339"/>
      </c:barChart>
      <c:catAx>
        <c:axId val="717620959"/>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98310339"/>
        <c:crosses val="autoZero"/>
        <c:auto val="1"/>
        <c:lblAlgn val="ctr"/>
        <c:lblOffset val="100"/>
        <c:noMultiLvlLbl val="0"/>
      </c:catAx>
      <c:valAx>
        <c:axId val="198310339"/>
        <c:scaling>
          <c:orientation val="minMax"/>
        </c:scaling>
        <c:delete val="0"/>
        <c:axPos val="l"/>
        <c:majorGridlines>
          <c:spPr>
            <a:ln w="9525"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round/>
            </a:ln>
          </c:spPr>
        </c:majorGridlines>
        <c:numFmt formatCode="#,##0.00"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717620959"/>
        <c:crosses val="autoZero"/>
        <c:crossBetween val="between"/>
      </c:valAx>
    </c:plotArea>
    <c:plotVisOnly val="1"/>
    <c:dispBlanksAs val="gap"/>
    <c:showDLblsOverMax val="0"/>
  </c:chart>
  <c:txPr>
    <a:bodyPr wrap="square"/>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1221719457014"/>
          <c:y val="0.0634146341463415"/>
          <c:w val="0.834841628959276"/>
          <c:h val="0.790243902439024"/>
        </c:manualLayout>
      </c:layout>
      <c:barChart>
        <c:barDir val="col"/>
        <c:grouping val="stacked"/>
        <c:varyColors val="0"/>
        <c:ser>
          <c:idx val="0"/>
          <c:order val="0"/>
          <c:invertIfNegative val="0"/>
          <c:dLbls>
            <c:numFmt formatCode="#,##0.00;[Red]\-#,##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'[图表生成（参考使用）.xls]表2 图表生成'!$B$37:$C$37</c:f>
              <c:strCache>
                <c:ptCount val="2"/>
                <c:pt idx="0">
                  <c:v>2022年</c:v>
                </c:pt>
                <c:pt idx="1">
                  <c:v>2021年</c:v>
                </c:pt>
              </c:strCache>
            </c:strRef>
          </c:cat>
          <c:val>
            <c:numRef>
              <c:f>'[图表生成（参考使用）.xls]表2 图表生成'!$B$38:$C$38</c:f>
              <c:numCache>
                <c:formatCode>#,##0.00</c:formatCode>
                <c:ptCount val="2"/>
                <c:pt idx="0">
                  <c:v>1743.44</c:v>
                </c:pt>
                <c:pt idx="1">
                  <c:v>1523.52</c:v>
                </c:pt>
              </c:numCache>
            </c:numRef>
          </c:val>
        </c:ser>
        <c:dLbls>
          <c:showLegendKey val="0"/>
          <c:showVal val="0"/>
          <c:showCatName val="0"/>
          <c:showSerName val="0"/>
          <c:showPercent val="0"/>
          <c:showBubbleSize val="0"/>
        </c:dLbls>
        <c:gapWidth val="150"/>
        <c:overlap val="100"/>
        <c:axId val="878739639"/>
        <c:axId val="482500347"/>
      </c:barChart>
      <c:catAx>
        <c:axId val="878739639"/>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482500347"/>
        <c:crosses val="autoZero"/>
        <c:auto val="1"/>
        <c:lblAlgn val="ctr"/>
        <c:lblOffset val="100"/>
        <c:noMultiLvlLbl val="0"/>
      </c:catAx>
      <c:valAx>
        <c:axId val="482500347"/>
        <c:scaling>
          <c:orientation val="minMax"/>
        </c:scaling>
        <c:delete val="0"/>
        <c:axPos val="l"/>
        <c:majorGridlines>
          <c:spPr>
            <a:ln w="9525"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round/>
            </a:ln>
          </c:spPr>
        </c:majorGridlines>
        <c:numFmt formatCode="#,##0.00"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878739639"/>
        <c:crosses val="autoZero"/>
        <c:crossBetween val="between"/>
      </c:valAx>
    </c:plotArea>
    <c:plotVisOnly val="1"/>
    <c:dispBlanksAs val="gap"/>
    <c:showDLblsOverMax val="0"/>
  </c:chart>
  <c:txPr>
    <a:bodyPr wrap="square"/>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1510769739231"/>
          <c:y val="0.127329385629042"/>
          <c:w val="0.456979394138566"/>
          <c:h val="0.742237150374173"/>
        </c:manualLayout>
      </c:layout>
      <c:pieChart>
        <c:varyColors val="1"/>
        <c:ser>
          <c:idx val="0"/>
          <c:order val="0"/>
          <c:explosion val="0"/>
          <c:dPt>
            <c:idx val="0"/>
            <c:bubble3D val="0"/>
            <c:explosion val="0"/>
          </c:dPt>
          <c:dLbls>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'[图表生成（参考使用）.xls]表2 图表生成'!$B$43</c:f>
              <c:strCache>
                <c:ptCount val="1"/>
                <c:pt idx="0">
                  <c:v>卫生健康支出</c:v>
                </c:pt>
              </c:strCache>
            </c:strRef>
          </c:cat>
          <c:val>
            <c:numRef>
              <c:f>'[图表生成（参考使用）.xls]表2 图表生成'!$C$43</c:f>
              <c:numCache>
                <c:formatCode>#,##0.00</c:formatCode>
                <c:ptCount val="1"/>
                <c:pt idx="0">
                  <c:v>1743.44</c:v>
                </c:pt>
              </c:numCache>
            </c:numRef>
          </c:val>
        </c:ser>
        <c:dLbls>
          <c:showLegendKey val="0"/>
          <c:showVal val="0"/>
          <c:showCatName val="0"/>
          <c:showSerName val="0"/>
          <c:showPercent val="0"/>
          <c:showBubbleSize val="0"/>
          <c:showLeaderLines val="1"/>
        </c:dLbls>
        <c:firstSliceAng val="0"/>
      </c:pieChart>
      <c:spPr>
        <a:noFill/>
        <a:ln w="3175">
          <a:noFill/>
        </a:ln>
      </c:spPr>
    </c:plotArea>
    <c:plotVisOnly val="1"/>
    <c:dispBlanksAs val="gap"/>
    <c:showDLblsOverMax val="0"/>
  </c:chart>
  <c:txPr>
    <a:bodyPr wrap="square"/>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C6DFB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1343</Words>
  <Characters>7660</Characters>
  <Lines>63</Lines>
  <Paragraphs>17</Paragraphs>
  <TotalTime>0</TotalTime>
  <ScaleCrop>false</ScaleCrop>
  <LinksUpToDate>false</LinksUpToDate>
  <CharactersWithSpaces>8986</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2021-08-18T02:22:00Z</dcterms:created>
  <dc:creator>微软用户</dc:creator>
  <cp:lastModifiedBy>Administrator</cp:lastModifiedBy>
  <cp:lastPrinted>2022-07-12T06:50:00Z</cp:lastPrinted>
  <dcterms:modified xsi:type="dcterms:W3CDTF">2023-09-19T05:23:11Z</dcterms:modified>
  <dc:title>成财库〔2014〕14号</dc:title>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933B370D289C4B5D97EEBA452CA8D3B1</vt:lpwstr>
  </property>
</Properties>
</file>