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
    <w:p/>
    <w:p>
      <w:pPr>
        <w:jc w:val="center"/>
        <w:rPr>
          <w:rFonts w:ascii="方正小标宋_GBK" w:eastAsia="方正小标宋_GBK"/>
          <w:sz w:val="72"/>
          <w:szCs w:val="72"/>
        </w:rPr>
      </w:pPr>
      <w:bookmarkStart w:id="0" w:name="_Toc15377425"/>
      <w:bookmarkStart w:id="1" w:name="_Toc15378441"/>
      <w:bookmarkStart w:id="2" w:name="_Toc15396475"/>
      <w:bookmarkStart w:id="3" w:name="_Toc19087152"/>
      <w:bookmarkStart w:id="4" w:name="_Toc15377193"/>
      <w:bookmarkStart w:id="5" w:name="_Toc15396597"/>
      <w:r>
        <w:rPr>
          <w:rFonts w:hint="eastAsia" w:ascii="方正小标宋_GBK" w:eastAsia="方正小标宋_GBK"/>
          <w:sz w:val="72"/>
          <w:szCs w:val="72"/>
        </w:rPr>
        <w:t>2021年度</w:t>
      </w:r>
      <w:bookmarkEnd w:id="0"/>
      <w:bookmarkEnd w:id="1"/>
      <w:bookmarkEnd w:id="2"/>
      <w:bookmarkEnd w:id="3"/>
      <w:bookmarkEnd w:id="4"/>
      <w:bookmarkEnd w:id="5"/>
      <w:bookmarkStart w:id="6" w:name="_Toc15396476"/>
      <w:bookmarkStart w:id="7" w:name="_Toc15377194"/>
      <w:bookmarkStart w:id="8" w:name="_Toc15378442"/>
      <w:bookmarkStart w:id="9" w:name="_Toc15377426"/>
      <w:bookmarkStart w:id="10" w:name="_Toc15396598"/>
      <w:bookmarkStart w:id="11" w:name="_Toc19087153"/>
    </w:p>
    <w:p>
      <w:pPr>
        <w:jc w:val="center"/>
        <w:rPr>
          <w:rFonts w:ascii="方正小标宋_GBK" w:eastAsia="方正小标宋_GBK"/>
          <w:sz w:val="72"/>
          <w:szCs w:val="72"/>
        </w:rPr>
      </w:pPr>
      <w:r>
        <w:rPr>
          <w:rFonts w:hint="eastAsia" w:ascii="方正小标宋_GBK" w:eastAsia="方正小标宋_GBK"/>
          <w:sz w:val="72"/>
          <w:szCs w:val="72"/>
        </w:rPr>
        <w:t>成都市青羊区</w:t>
      </w:r>
      <w:bookmarkStart w:id="12" w:name="_Toc15306268"/>
      <w:r>
        <w:rPr>
          <w:rFonts w:hint="eastAsia" w:ascii="方正小标宋_GBK" w:eastAsia="方正小标宋_GBK"/>
          <w:sz w:val="72"/>
          <w:szCs w:val="72"/>
        </w:rPr>
        <w:t>成都儿童专科医院部门决算</w:t>
      </w:r>
      <w:bookmarkEnd w:id="6"/>
      <w:bookmarkEnd w:id="7"/>
      <w:bookmarkEnd w:id="8"/>
      <w:bookmarkEnd w:id="9"/>
      <w:bookmarkEnd w:id="10"/>
      <w:bookmarkEnd w:id="11"/>
      <w:bookmarkEnd w:id="12"/>
      <w:bookmarkStart w:id="13" w:name="_Toc19087154"/>
    </w:p>
    <w:bookmarkEnd w:id="13"/>
    <w:p>
      <w:pPr>
        <w:topLinePunct/>
        <w:snapToGrid w:val="0"/>
        <w:jc w:val="center"/>
        <w:rPr>
          <w:rFonts w:eastAsia="方正小标宋_GBK"/>
          <w:color w:val="000000"/>
          <w:sz w:val="48"/>
          <w:szCs w:val="48"/>
        </w:rPr>
      </w:pPr>
      <w:r>
        <w:rPr>
          <w:rFonts w:eastAsia="方正小标宋简体"/>
          <w:color w:val="000000"/>
          <w:sz w:val="36"/>
          <w:szCs w:val="36"/>
        </w:rPr>
        <w:br w:type="page"/>
      </w:r>
      <w:r>
        <w:rPr>
          <w:rFonts w:eastAsia="方正小标宋_GBK"/>
          <w:color w:val="000000"/>
          <w:sz w:val="48"/>
          <w:szCs w:val="48"/>
        </w:rPr>
        <w:t>目</w:t>
      </w:r>
      <w:r>
        <w:rPr>
          <w:rFonts w:hint="eastAsia" w:eastAsia="方正小标宋_GBK"/>
          <w:color w:val="000000"/>
          <w:sz w:val="48"/>
          <w:szCs w:val="48"/>
        </w:rPr>
        <w:t xml:space="preserve">  </w:t>
      </w:r>
      <w:r>
        <w:rPr>
          <w:rFonts w:eastAsia="方正小标宋_GBK"/>
          <w:color w:val="000000"/>
          <w:sz w:val="48"/>
          <w:szCs w:val="48"/>
        </w:rPr>
        <w:t>录</w:t>
      </w:r>
    </w:p>
    <w:p>
      <w:pPr>
        <w:pStyle w:val="14"/>
      </w:pPr>
      <w:r>
        <w:rPr>
          <w:rFonts w:hint="eastAsia"/>
          <w:highlight w:val="none"/>
        </w:rPr>
        <w:t>公开时间：2022年11月</w:t>
      </w:r>
      <w:r>
        <w:rPr>
          <w:rFonts w:hint="eastAsia"/>
          <w:highlight w:val="none"/>
          <w:lang w:val="en-US" w:eastAsia="zh-CN"/>
        </w:rPr>
        <w:t>11</w:t>
      </w:r>
      <w:r>
        <w:rPr>
          <w:rFonts w:hint="eastAsia"/>
          <w:highlight w:val="none"/>
        </w:rPr>
        <w:t>日</w:t>
      </w:r>
    </w:p>
    <w:p>
      <w:pPr>
        <w:pStyle w:val="14"/>
        <w:rPr>
          <w:rFonts w:asciiTheme="minorHAnsi" w:hAnsiTheme="minorHAnsi" w:eastAsiaTheme="minorEastAsia" w:cstheme="minorBidi"/>
          <w:bCs w:val="0"/>
          <w:color w:val="auto"/>
          <w:sz w:val="21"/>
          <w:szCs w:val="22"/>
        </w:rPr>
      </w:pPr>
      <w:r>
        <w:fldChar w:fldCharType="begin"/>
      </w:r>
      <w:r>
        <w:instrText xml:space="preserve"> TOC \o "1-2" \h \z \u </w:instrText>
      </w:r>
      <w:r>
        <w:fldChar w:fldCharType="separate"/>
      </w:r>
      <w:r>
        <w:fldChar w:fldCharType="begin"/>
      </w:r>
      <w:r>
        <w:instrText xml:space="preserve"> HYPERLINK \l "_Toc108529852" </w:instrText>
      </w:r>
      <w:r>
        <w:fldChar w:fldCharType="separate"/>
      </w:r>
      <w:r>
        <w:rPr>
          <w:rStyle w:val="24"/>
          <w:rFonts w:hint="eastAsia" w:ascii="方正黑体_GBK"/>
        </w:rPr>
        <w:t>第一部分</w:t>
      </w:r>
      <w:r>
        <w:rPr>
          <w:rStyle w:val="24"/>
          <w:rFonts w:ascii="方正黑体_GBK"/>
        </w:rPr>
        <w:t xml:space="preserve"> </w:t>
      </w:r>
      <w:r>
        <w:rPr>
          <w:rStyle w:val="24"/>
          <w:rFonts w:hint="eastAsia" w:ascii="方正黑体_GBK"/>
        </w:rPr>
        <w:t>单位概况</w:t>
      </w:r>
      <w:r>
        <w:tab/>
      </w:r>
      <w:r>
        <w:fldChar w:fldCharType="begin"/>
      </w:r>
      <w:r>
        <w:instrText xml:space="preserve"> PAGEREF _Toc108529852 \h </w:instrText>
      </w:r>
      <w:r>
        <w:fldChar w:fldCharType="separate"/>
      </w:r>
      <w:r>
        <w:t>4</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"_Toc108529853" </w:instrText>
      </w:r>
      <w:r>
        <w:fldChar w:fldCharType="separate"/>
      </w:r>
      <w:r>
        <w:rPr>
          <w:rStyle w:val="24"/>
          <w:rFonts w:hint="eastAsia" w:eastAsia="方正黑体_GBK"/>
        </w:rPr>
        <w:t>一、基本职能及主要工作</w:t>
      </w:r>
      <w:r>
        <w:tab/>
      </w:r>
      <w:r>
        <w:fldChar w:fldCharType="begin"/>
      </w:r>
      <w:r>
        <w:instrText xml:space="preserve"> PAGEREF _Toc108529853 \h </w:instrText>
      </w:r>
      <w:r>
        <w:fldChar w:fldCharType="separate"/>
      </w:r>
      <w:r>
        <w:t>4</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"_Toc108529854" </w:instrText>
      </w:r>
      <w:r>
        <w:fldChar w:fldCharType="separate"/>
      </w:r>
      <w:r>
        <w:rPr>
          <w:rStyle w:val="24"/>
          <w:rFonts w:hint="eastAsia" w:eastAsia="方正黑体_GBK"/>
        </w:rPr>
        <w:t>二、机构设置</w:t>
      </w:r>
      <w:r>
        <w:tab/>
      </w:r>
      <w:r>
        <w:fldChar w:fldCharType="begin"/>
      </w:r>
      <w:r>
        <w:instrText xml:space="preserve"> PAGEREF _Toc108529854 \h </w:instrText>
      </w:r>
      <w:r>
        <w:fldChar w:fldCharType="separate"/>
      </w:r>
      <w:r>
        <w:t>6</w:t>
      </w:r>
      <w:r>
        <w:fldChar w:fldCharType="end"/>
      </w:r>
      <w:r>
        <w:fldChar w:fldCharType="end"/>
      </w:r>
    </w:p>
    <w:p>
      <w:pPr>
        <w:pStyle w:val="14"/>
        <w:rPr>
          <w:rFonts w:asciiTheme="minorHAnsi" w:hAnsiTheme="minorHAnsi" w:eastAsiaTheme="minorEastAsia" w:cstheme="minorBidi"/>
          <w:bCs w:val="0"/>
          <w:color w:val="auto"/>
          <w:sz w:val="21"/>
          <w:szCs w:val="22"/>
        </w:rPr>
      </w:pPr>
      <w:r>
        <w:fldChar w:fldCharType="begin"/>
      </w:r>
      <w:r>
        <w:instrText xml:space="preserve"> HYPERLINK \l "_Toc108529855" </w:instrText>
      </w:r>
      <w:r>
        <w:fldChar w:fldCharType="separate"/>
      </w:r>
      <w:r>
        <w:rPr>
          <w:rStyle w:val="24"/>
          <w:rFonts w:hint="eastAsia"/>
        </w:rPr>
        <w:t>第二部分</w:t>
      </w:r>
      <w:r>
        <w:rPr>
          <w:rStyle w:val="24"/>
        </w:rPr>
        <w:t xml:space="preserve"> 2021</w:t>
      </w:r>
      <w:r>
        <w:rPr>
          <w:rStyle w:val="24"/>
          <w:rFonts w:hint="eastAsia"/>
        </w:rPr>
        <w:t>年度部门决算情况说明</w:t>
      </w:r>
      <w:r>
        <w:tab/>
      </w:r>
      <w:r>
        <w:fldChar w:fldCharType="begin"/>
      </w:r>
      <w:r>
        <w:instrText xml:space="preserve"> PAGEREF _Toc108529855 \h </w:instrText>
      </w:r>
      <w:r>
        <w:fldChar w:fldCharType="separate"/>
      </w:r>
      <w:r>
        <w:t>7</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"_Toc108529856" </w:instrText>
      </w:r>
      <w:r>
        <w:fldChar w:fldCharType="separate"/>
      </w:r>
      <w:r>
        <w:rPr>
          <w:rStyle w:val="24"/>
          <w:rFonts w:hint="eastAsia" w:eastAsia="方正黑体_GBK"/>
        </w:rPr>
        <w:t>一、收入支出决算总体情况说明</w:t>
      </w:r>
      <w:r>
        <w:tab/>
      </w:r>
      <w:r>
        <w:fldChar w:fldCharType="begin"/>
      </w:r>
      <w:r>
        <w:instrText xml:space="preserve"> PAGEREF _Toc108529856 \h </w:instrText>
      </w:r>
      <w:r>
        <w:fldChar w:fldCharType="separate"/>
      </w:r>
      <w:r>
        <w:t>7</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"_Toc108529857" </w:instrText>
      </w:r>
      <w:r>
        <w:fldChar w:fldCharType="separate"/>
      </w:r>
      <w:r>
        <w:rPr>
          <w:rStyle w:val="24"/>
          <w:rFonts w:hint="eastAsia" w:eastAsia="方正黑体_GBK"/>
        </w:rPr>
        <w:t>二、收入决算情况说明</w:t>
      </w:r>
      <w:r>
        <w:tab/>
      </w:r>
      <w:r>
        <w:fldChar w:fldCharType="begin"/>
      </w:r>
      <w:r>
        <w:instrText xml:space="preserve"> PAGEREF _Toc108529857 \h </w:instrText>
      </w:r>
      <w:r>
        <w:fldChar w:fldCharType="separate"/>
      </w:r>
      <w:r>
        <w:t>7</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"_Toc108529858" </w:instrText>
      </w:r>
      <w:r>
        <w:fldChar w:fldCharType="separate"/>
      </w:r>
      <w:r>
        <w:rPr>
          <w:rStyle w:val="24"/>
          <w:rFonts w:hint="eastAsia" w:eastAsia="方正黑体_GBK"/>
        </w:rPr>
        <w:t>三、支出决算情况说明</w:t>
      </w:r>
      <w:r>
        <w:tab/>
      </w:r>
      <w:r>
        <w:fldChar w:fldCharType="begin"/>
      </w:r>
      <w:r>
        <w:instrText xml:space="preserve"> PAGEREF _Toc108529858 \h </w:instrText>
      </w:r>
      <w:r>
        <w:fldChar w:fldCharType="separate"/>
      </w:r>
      <w:r>
        <w:t>8</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"_Toc108529859" </w:instrText>
      </w:r>
      <w:r>
        <w:fldChar w:fldCharType="separate"/>
      </w:r>
      <w:r>
        <w:rPr>
          <w:rStyle w:val="24"/>
          <w:rFonts w:hint="eastAsia" w:ascii="方正黑体_GBK" w:eastAsia="方正黑体_GBK"/>
        </w:rPr>
        <w:t>四、财政拨款收入支出决算总体情况说明</w:t>
      </w:r>
      <w:r>
        <w:tab/>
      </w:r>
      <w:r>
        <w:fldChar w:fldCharType="begin"/>
      </w:r>
      <w:r>
        <w:instrText xml:space="preserve"> PAGEREF _Toc108529859 \h </w:instrText>
      </w:r>
      <w:r>
        <w:fldChar w:fldCharType="separate"/>
      </w:r>
      <w:r>
        <w:t>8</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"_Toc108529860" </w:instrText>
      </w:r>
      <w:r>
        <w:fldChar w:fldCharType="separate"/>
      </w:r>
      <w:r>
        <w:rPr>
          <w:rStyle w:val="24"/>
          <w:rFonts w:hint="eastAsia" w:ascii="方正黑体_GBK" w:eastAsia="方正黑体_GBK"/>
        </w:rPr>
        <w:t>五、一般公共预算财政拨款支出决算情况说明</w:t>
      </w:r>
      <w:r>
        <w:tab/>
      </w:r>
      <w:r>
        <w:fldChar w:fldCharType="begin"/>
      </w:r>
      <w:r>
        <w:instrText xml:space="preserve"> PAGEREF _Toc108529860 \h </w:instrText>
      </w:r>
      <w:r>
        <w:fldChar w:fldCharType="separate"/>
      </w:r>
      <w:r>
        <w:t>9</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"_Toc108529861" </w:instrText>
      </w:r>
      <w:r>
        <w:fldChar w:fldCharType="separate"/>
      </w:r>
      <w:r>
        <w:rPr>
          <w:rStyle w:val="24"/>
          <w:rFonts w:hint="eastAsia" w:ascii="方正黑体_GBK" w:eastAsia="方正黑体_GBK"/>
        </w:rPr>
        <w:t>六、一般公共预算财政拨款基本支出决算情况说明</w:t>
      </w:r>
      <w:r>
        <w:tab/>
      </w:r>
      <w:r>
        <w:fldChar w:fldCharType="begin"/>
      </w:r>
      <w:r>
        <w:instrText xml:space="preserve"> PAGEREF _Toc108529861 \h </w:instrText>
      </w:r>
      <w:r>
        <w:fldChar w:fldCharType="separate"/>
      </w:r>
      <w:r>
        <w:t>11</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"_Toc108529862" </w:instrText>
      </w:r>
      <w:r>
        <w:fldChar w:fldCharType="separate"/>
      </w:r>
      <w:r>
        <w:rPr>
          <w:rStyle w:val="24"/>
          <w:rFonts w:hint="eastAsia" w:ascii="方正黑体_GBK" w:eastAsia="方正黑体_GBK"/>
        </w:rPr>
        <w:t>七、</w:t>
      </w:r>
      <w:r>
        <w:rPr>
          <w:rStyle w:val="24"/>
          <w:rFonts w:ascii="方正黑体_GBK" w:eastAsia="方正黑体_GBK"/>
          <w:b/>
          <w:bCs/>
        </w:rPr>
        <w:t>“</w:t>
      </w:r>
      <w:r>
        <w:rPr>
          <w:rStyle w:val="24"/>
          <w:rFonts w:hint="eastAsia" w:ascii="方正黑体_GBK" w:eastAsia="方正黑体_GBK"/>
        </w:rPr>
        <w:t>三公</w:t>
      </w:r>
      <w:r>
        <w:rPr>
          <w:rStyle w:val="24"/>
          <w:rFonts w:ascii="方正黑体_GBK" w:eastAsia="方正黑体_GBK"/>
        </w:rPr>
        <w:t>”</w:t>
      </w:r>
      <w:r>
        <w:rPr>
          <w:rStyle w:val="24"/>
          <w:rFonts w:hint="eastAsia" w:ascii="方正黑体_GBK" w:eastAsia="方正黑体_GBK"/>
        </w:rPr>
        <w:t>经费财政拨款支出决算情况说明</w:t>
      </w:r>
      <w:r>
        <w:tab/>
      </w:r>
      <w:r>
        <w:fldChar w:fldCharType="begin"/>
      </w:r>
      <w:r>
        <w:instrText xml:space="preserve"> PAGEREF _Toc108529862 \h </w:instrText>
      </w:r>
      <w:r>
        <w:fldChar w:fldCharType="separate"/>
      </w:r>
      <w:r>
        <w:t>12</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"_Toc108529863" </w:instrText>
      </w:r>
      <w:r>
        <w:fldChar w:fldCharType="separate"/>
      </w:r>
      <w:r>
        <w:rPr>
          <w:rStyle w:val="24"/>
          <w:rFonts w:hint="eastAsia" w:ascii="方正黑体_GBK" w:eastAsia="方正黑体_GBK"/>
        </w:rPr>
        <w:t>八、政府性基金预算支出决算情况说明</w:t>
      </w:r>
      <w:r>
        <w:tab/>
      </w:r>
      <w:r>
        <w:fldChar w:fldCharType="begin"/>
      </w:r>
      <w:r>
        <w:instrText xml:space="preserve"> PAGEREF _Toc108529863 \h </w:instrText>
      </w:r>
      <w:r>
        <w:fldChar w:fldCharType="separate"/>
      </w:r>
      <w:r>
        <w:t>12</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"_Toc108529864" </w:instrText>
      </w:r>
      <w:r>
        <w:fldChar w:fldCharType="separate"/>
      </w:r>
      <w:r>
        <w:rPr>
          <w:rStyle w:val="24"/>
          <w:rFonts w:hint="eastAsia" w:ascii="方正黑体_GBK" w:eastAsia="方正黑体_GBK"/>
        </w:rPr>
        <w:t>九、国有资本经营预算支出决算情况说明</w:t>
      </w:r>
      <w:r>
        <w:tab/>
      </w:r>
      <w:r>
        <w:fldChar w:fldCharType="begin"/>
      </w:r>
      <w:r>
        <w:instrText xml:space="preserve"> PAGEREF _Toc108529864 \h </w:instrText>
      </w:r>
      <w:r>
        <w:fldChar w:fldCharType="separate"/>
      </w:r>
      <w:r>
        <w:t>12</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"_Toc108529865" </w:instrText>
      </w:r>
      <w:r>
        <w:fldChar w:fldCharType="separate"/>
      </w:r>
      <w:r>
        <w:rPr>
          <w:rStyle w:val="24"/>
          <w:rFonts w:hint="eastAsia" w:ascii="方正黑体_GBK" w:eastAsia="方正黑体_GBK"/>
        </w:rPr>
        <w:t>十、预算绩效管理情况说明</w:t>
      </w:r>
      <w:r>
        <w:tab/>
      </w:r>
      <w:r>
        <w:fldChar w:fldCharType="begin"/>
      </w:r>
      <w:r>
        <w:instrText xml:space="preserve"> PAGEREF _Toc108529865 \h </w:instrText>
      </w:r>
      <w:r>
        <w:fldChar w:fldCharType="separate"/>
      </w:r>
      <w:r>
        <w:t>12</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"_Toc108529866" </w:instrText>
      </w:r>
      <w:r>
        <w:fldChar w:fldCharType="separate"/>
      </w:r>
      <w:r>
        <w:rPr>
          <w:rStyle w:val="24"/>
          <w:rFonts w:hint="eastAsia" w:ascii="方正黑体_GBK" w:eastAsia="方正黑体_GBK"/>
        </w:rPr>
        <w:t>十一</w:t>
      </w:r>
      <w:r>
        <w:rPr>
          <w:rStyle w:val="24"/>
          <w:rFonts w:hint="eastAsia" w:ascii="方正黑体_GBK" w:eastAsia="方正黑体_GBK"/>
          <w:b/>
          <w:bCs/>
        </w:rPr>
        <w:t>、</w:t>
      </w:r>
      <w:r>
        <w:rPr>
          <w:rStyle w:val="24"/>
          <w:rFonts w:hint="eastAsia" w:ascii="方正黑体_GBK" w:eastAsia="方正黑体_GBK"/>
        </w:rPr>
        <w:t>其他重要事项的情况说明</w:t>
      </w:r>
      <w:r>
        <w:tab/>
      </w:r>
      <w:r>
        <w:fldChar w:fldCharType="begin"/>
      </w:r>
      <w:r>
        <w:instrText xml:space="preserve"> PAGEREF _Toc108529866 \h </w:instrText>
      </w:r>
      <w:r>
        <w:fldChar w:fldCharType="separate"/>
      </w:r>
      <w:r>
        <w:t>14</w:t>
      </w:r>
      <w:r>
        <w:fldChar w:fldCharType="end"/>
      </w:r>
      <w:r>
        <w:fldChar w:fldCharType="end"/>
      </w:r>
    </w:p>
    <w:p>
      <w:pPr>
        <w:pStyle w:val="14"/>
        <w:rPr>
          <w:rFonts w:asciiTheme="minorHAnsi" w:hAnsiTheme="minorHAnsi" w:eastAsiaTheme="minorEastAsia" w:cstheme="minorBidi"/>
          <w:bCs w:val="0"/>
          <w:color w:val="auto"/>
          <w:sz w:val="21"/>
          <w:szCs w:val="22"/>
        </w:rPr>
      </w:pPr>
      <w:r>
        <w:fldChar w:fldCharType="begin"/>
      </w:r>
      <w:r>
        <w:instrText xml:space="preserve"> HYPERLINK \l "_Toc108529867" </w:instrText>
      </w:r>
      <w:r>
        <w:fldChar w:fldCharType="separate"/>
      </w:r>
      <w:r>
        <w:rPr>
          <w:rStyle w:val="24"/>
          <w:rFonts w:hint="eastAsia"/>
        </w:rPr>
        <w:t>第三部分</w:t>
      </w:r>
      <w:r>
        <w:rPr>
          <w:rStyle w:val="24"/>
        </w:rPr>
        <w:t xml:space="preserve"> </w:t>
      </w:r>
      <w:r>
        <w:rPr>
          <w:rStyle w:val="24"/>
          <w:rFonts w:hint="eastAsia"/>
        </w:rPr>
        <w:t>名词解释</w:t>
      </w:r>
      <w:r>
        <w:tab/>
      </w:r>
      <w:r>
        <w:fldChar w:fldCharType="begin"/>
      </w:r>
      <w:r>
        <w:instrText xml:space="preserve"> PAGEREF _Toc108529867 \h </w:instrText>
      </w:r>
      <w:r>
        <w:fldChar w:fldCharType="separate"/>
      </w:r>
      <w:r>
        <w:t>16</w:t>
      </w:r>
      <w:r>
        <w:fldChar w:fldCharType="end"/>
      </w:r>
      <w:r>
        <w:fldChar w:fldCharType="end"/>
      </w:r>
    </w:p>
    <w:p>
      <w:pPr>
        <w:pStyle w:val="14"/>
        <w:rPr>
          <w:rFonts w:asciiTheme="minorHAnsi" w:hAnsiTheme="minorHAnsi" w:eastAsiaTheme="minorEastAsia" w:cstheme="minorBidi"/>
          <w:bCs w:val="0"/>
          <w:color w:val="auto"/>
          <w:sz w:val="21"/>
          <w:szCs w:val="22"/>
        </w:rPr>
      </w:pPr>
      <w:r>
        <w:fldChar w:fldCharType="begin"/>
      </w:r>
      <w:r>
        <w:instrText xml:space="preserve"> HYPERLINK \l "_Toc108529868" </w:instrText>
      </w:r>
      <w:r>
        <w:fldChar w:fldCharType="separate"/>
      </w:r>
      <w:r>
        <w:rPr>
          <w:rStyle w:val="24"/>
          <w:rFonts w:hint="eastAsia" w:ascii="方正黑体_GBK"/>
        </w:rPr>
        <w:t>第</w:t>
      </w:r>
      <w:r>
        <w:rPr>
          <w:rStyle w:val="24"/>
          <w:rFonts w:hint="eastAsia" w:ascii="方正黑体_GBK"/>
          <w:kern w:val="44"/>
        </w:rPr>
        <w:t>四部分</w:t>
      </w:r>
      <w:r>
        <w:rPr>
          <w:rStyle w:val="24"/>
          <w:rFonts w:ascii="方正黑体_GBK"/>
          <w:kern w:val="44"/>
        </w:rPr>
        <w:t xml:space="preserve"> </w:t>
      </w:r>
      <w:r>
        <w:rPr>
          <w:rStyle w:val="24"/>
          <w:rFonts w:hint="eastAsia" w:ascii="方正黑体_GBK"/>
          <w:kern w:val="44"/>
        </w:rPr>
        <w:t>附</w:t>
      </w:r>
      <w:r>
        <w:rPr>
          <w:rStyle w:val="24"/>
          <w:rFonts w:ascii="方正黑体_GBK"/>
          <w:kern w:val="44"/>
        </w:rPr>
        <w:t xml:space="preserve">  </w:t>
      </w:r>
      <w:r>
        <w:rPr>
          <w:rStyle w:val="24"/>
          <w:rFonts w:hint="eastAsia" w:ascii="方正黑体_GBK"/>
          <w:kern w:val="44"/>
        </w:rPr>
        <w:t>件</w:t>
      </w:r>
      <w:r>
        <w:tab/>
      </w:r>
      <w:r>
        <w:fldChar w:fldCharType="begin"/>
      </w:r>
      <w:r>
        <w:instrText xml:space="preserve"> PAGEREF _Toc108529868 \h </w:instrText>
      </w:r>
      <w:r>
        <w:fldChar w:fldCharType="separate"/>
      </w:r>
      <w:r>
        <w:t>18</w:t>
      </w:r>
      <w:r>
        <w:fldChar w:fldCharType="end"/>
      </w:r>
      <w:r>
        <w:fldChar w:fldCharType="end"/>
      </w:r>
    </w:p>
    <w:p>
      <w:pPr>
        <w:pStyle w:val="14"/>
        <w:rPr>
          <w:rFonts w:asciiTheme="minorHAnsi" w:hAnsiTheme="minorHAnsi" w:eastAsiaTheme="minorEastAsia" w:cstheme="minorBidi"/>
          <w:bCs w:val="0"/>
          <w:color w:val="auto"/>
          <w:sz w:val="21"/>
          <w:szCs w:val="22"/>
        </w:rPr>
      </w:pPr>
      <w:r>
        <w:fldChar w:fldCharType="begin"/>
      </w:r>
      <w:r>
        <w:instrText xml:space="preserve"> HYPERLINK \l "_Toc108529869" </w:instrText>
      </w:r>
      <w:r>
        <w:fldChar w:fldCharType="separate"/>
      </w:r>
      <w:r>
        <w:rPr>
          <w:rStyle w:val="24"/>
          <w:rFonts w:hint="eastAsia" w:ascii="方正黑体_GBK"/>
        </w:rPr>
        <w:t>第</w:t>
      </w:r>
      <w:r>
        <w:rPr>
          <w:rStyle w:val="24"/>
          <w:rFonts w:hint="eastAsia" w:ascii="方正黑体_GBK"/>
          <w:kern w:val="44"/>
        </w:rPr>
        <w:t>五部分</w:t>
      </w:r>
      <w:r>
        <w:rPr>
          <w:rStyle w:val="24"/>
          <w:rFonts w:ascii="方正黑体_GBK"/>
          <w:kern w:val="44"/>
        </w:rPr>
        <w:t xml:space="preserve"> </w:t>
      </w:r>
      <w:r>
        <w:rPr>
          <w:rStyle w:val="24"/>
          <w:rFonts w:hint="eastAsia" w:ascii="方正黑体_GBK"/>
          <w:kern w:val="44"/>
        </w:rPr>
        <w:t>附</w:t>
      </w:r>
      <w:r>
        <w:rPr>
          <w:rStyle w:val="24"/>
          <w:rFonts w:ascii="方正黑体_GBK"/>
          <w:kern w:val="44"/>
        </w:rPr>
        <w:t xml:space="preserve">  </w:t>
      </w:r>
      <w:r>
        <w:rPr>
          <w:rStyle w:val="24"/>
          <w:rFonts w:hint="eastAsia" w:ascii="方正黑体_GBK"/>
          <w:kern w:val="44"/>
        </w:rPr>
        <w:t>表</w:t>
      </w:r>
      <w:r>
        <w:tab/>
      </w:r>
      <w:r>
        <w:fldChar w:fldCharType="begin"/>
      </w:r>
      <w:r>
        <w:instrText xml:space="preserve"> PAGEREF _Toc108529869 \h </w:instrText>
      </w:r>
      <w:r>
        <w:fldChar w:fldCharType="separate"/>
      </w:r>
      <w:r>
        <w:t>35</w:t>
      </w:r>
      <w:r>
        <w:fldChar w:fldCharType="end"/>
      </w:r>
      <w: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"_Toc108529870" </w:instrText>
      </w:r>
      <w:r>
        <w:fldChar w:fldCharType="separate"/>
      </w:r>
      <w:r>
        <w:rPr>
          <w:rStyle w:val="24"/>
          <w:rFonts w:hint="eastAsia" w:eastAsia="方正仿宋_GBK"/>
        </w:rPr>
        <w:t>一、收入支出决算总表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"_Toc108529871" </w:instrText>
      </w:r>
      <w:r>
        <w:fldChar w:fldCharType="separate"/>
      </w:r>
      <w:r>
        <w:rPr>
          <w:rStyle w:val="24"/>
          <w:rFonts w:hint="eastAsia" w:eastAsia="方正仿宋_GBK"/>
        </w:rPr>
        <w:t>二、收入决算表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"_Toc108529872" </w:instrText>
      </w:r>
      <w:r>
        <w:fldChar w:fldCharType="separate"/>
      </w:r>
      <w:r>
        <w:rPr>
          <w:rStyle w:val="24"/>
          <w:rFonts w:hint="eastAsia" w:eastAsia="方正仿宋_GBK"/>
        </w:rPr>
        <w:t>三、支出决算表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"_Toc108529873" </w:instrText>
      </w:r>
      <w:r>
        <w:fldChar w:fldCharType="separate"/>
      </w:r>
      <w:r>
        <w:rPr>
          <w:rStyle w:val="24"/>
          <w:rFonts w:hint="eastAsia" w:eastAsia="方正仿宋_GBK"/>
        </w:rPr>
        <w:t>四、财政拨款收入支出决算总表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"_Toc108529874" </w:instrText>
      </w:r>
      <w:r>
        <w:fldChar w:fldCharType="separate"/>
      </w:r>
      <w:r>
        <w:rPr>
          <w:rStyle w:val="24"/>
          <w:rFonts w:hint="eastAsia" w:eastAsia="方正仿宋_GBK"/>
        </w:rPr>
        <w:t>五、财政拨款支出决算明细表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"_Toc108529875" </w:instrText>
      </w:r>
      <w:r>
        <w:fldChar w:fldCharType="separate"/>
      </w:r>
      <w:r>
        <w:rPr>
          <w:rStyle w:val="24"/>
          <w:rFonts w:hint="eastAsia" w:eastAsia="方正仿宋_GBK"/>
        </w:rPr>
        <w:t>六、一般公共预算财政拨款支出决算表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"_Toc108529876" </w:instrText>
      </w:r>
      <w:r>
        <w:fldChar w:fldCharType="separate"/>
      </w:r>
      <w:r>
        <w:rPr>
          <w:rStyle w:val="24"/>
          <w:rFonts w:hint="eastAsia" w:eastAsia="方正仿宋_GBK"/>
        </w:rPr>
        <w:t>七、一般公共预算财政拨款支出决算明细表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"_Toc108529877" </w:instrText>
      </w:r>
      <w:r>
        <w:fldChar w:fldCharType="separate"/>
      </w:r>
      <w:r>
        <w:rPr>
          <w:rStyle w:val="24"/>
          <w:rFonts w:hint="eastAsia" w:eastAsia="方正仿宋_GBK"/>
        </w:rPr>
        <w:t>八、一般公共预算财政拨款基本支出决算表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"_Toc108529878" </w:instrText>
      </w:r>
      <w:r>
        <w:fldChar w:fldCharType="separate"/>
      </w:r>
      <w:r>
        <w:rPr>
          <w:rStyle w:val="24"/>
          <w:rFonts w:hint="eastAsia" w:eastAsia="方正仿宋_GBK"/>
        </w:rPr>
        <w:t>九、一般公共预算财政拨款项目支出决算表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"_Toc108529879" </w:instrText>
      </w:r>
      <w:r>
        <w:fldChar w:fldCharType="separate"/>
      </w:r>
      <w:r>
        <w:rPr>
          <w:rStyle w:val="24"/>
          <w:rFonts w:hint="eastAsia" w:eastAsia="方正仿宋_GBK"/>
        </w:rPr>
        <w:t>十、一般公共预算财政拨款“三公”经费支出决算表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"_Toc108529880" </w:instrText>
      </w:r>
      <w:r>
        <w:fldChar w:fldCharType="separate"/>
      </w:r>
      <w:r>
        <w:rPr>
          <w:rStyle w:val="24"/>
          <w:rFonts w:hint="eastAsia" w:eastAsia="方正仿宋_GBK"/>
        </w:rPr>
        <w:t>十一、政府性基金预算财政拨款收入支出决算表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"_Toc108529881" </w:instrText>
      </w:r>
      <w:r>
        <w:fldChar w:fldCharType="separate"/>
      </w:r>
      <w:r>
        <w:rPr>
          <w:rStyle w:val="24"/>
          <w:rFonts w:hint="eastAsia" w:eastAsia="方正仿宋_GBK"/>
        </w:rPr>
        <w:t>十二、政府性基金预算财政拨款“三公”经费支出决算表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"_Toc108529882" </w:instrText>
      </w:r>
      <w:r>
        <w:fldChar w:fldCharType="separate"/>
      </w:r>
      <w:r>
        <w:rPr>
          <w:rStyle w:val="24"/>
          <w:rFonts w:hint="eastAsia" w:eastAsia="方正仿宋_GBK"/>
        </w:rPr>
        <w:t>十三、国有资本经营预算收入支出决算表</w:t>
      </w:r>
      <w:r>
        <w:rPr>
          <w:rStyle w:val="24"/>
          <w:rFonts w:hint="eastAsia" w:eastAsia="方正仿宋_GBK"/>
        </w:rPr>
        <w:fldChar w:fldCharType="end"/>
      </w:r>
    </w:p>
    <w:p>
      <w:pPr>
        <w:pStyle w:val="16"/>
        <w:ind w:left="632"/>
        <w:rPr>
          <w:rFonts w:asciiTheme="minorHAnsi" w:hAnsiTheme="minorHAnsi" w:eastAsiaTheme="minorEastAsia" w:cstheme="minorBidi"/>
          <w:szCs w:val="22"/>
        </w:rPr>
      </w:pPr>
      <w:r>
        <w:fldChar w:fldCharType="begin"/>
      </w:r>
      <w:r>
        <w:instrText xml:space="preserve"> HYPERLINK \l "_Toc108529883" </w:instrText>
      </w:r>
      <w:r>
        <w:fldChar w:fldCharType="separate"/>
      </w:r>
      <w:r>
        <w:rPr>
          <w:rStyle w:val="24"/>
          <w:rFonts w:hint="eastAsia" w:eastAsia="方正仿宋_GBK"/>
        </w:rPr>
        <w:t>十四、国有资本经营预算财政拨款支出决算表</w:t>
      </w:r>
      <w:r>
        <w:rPr>
          <w:rStyle w:val="24"/>
          <w:rFonts w:hint="eastAsia" w:eastAsia="方正仿宋_GBK"/>
        </w:rPr>
        <w:fldChar w:fldCharType="end"/>
      </w:r>
    </w:p>
    <w:p>
      <w:pPr>
        <w:pStyle w:val="2"/>
        <w:keepNext w:val="0"/>
        <w:keepLines w:val="0"/>
        <w:topLinePunct/>
        <w:spacing w:before="0" w:after="0" w:line="240" w:lineRule="auto"/>
        <w:jc w:val="center"/>
        <w:rPr>
          <w:sz w:val="28"/>
          <w:szCs w:val="28"/>
        </w:rPr>
      </w:pPr>
      <w:r>
        <w:rPr>
          <w:sz w:val="28"/>
          <w:szCs w:val="28"/>
        </w:rPr>
        <w:fldChar w:fldCharType="end"/>
      </w:r>
      <w:bookmarkStart w:id="14" w:name="_Toc15377196"/>
    </w:p>
    <w:p>
      <w:pPr>
        <w:pStyle w:val="2"/>
        <w:keepNext w:val="0"/>
        <w:keepLines w:val="0"/>
        <w:topLinePunct/>
        <w:spacing w:before="0" w:after="0" w:line="240" w:lineRule="auto"/>
        <w:jc w:val="center"/>
        <w:rPr>
          <w:rStyle w:val="26"/>
          <w:rFonts w:ascii="方正黑体_GBK" w:eastAsia="方正黑体_GBK"/>
          <w:b w:val="0"/>
          <w:bCs w:val="0"/>
          <w:sz w:val="32"/>
          <w:szCs w:val="32"/>
        </w:rPr>
      </w:pPr>
      <w:r>
        <w:rPr>
          <w:rFonts w:eastAsia="黑体"/>
        </w:rPr>
        <w:br w:type="page"/>
      </w:r>
      <w:bookmarkStart w:id="15" w:name="_Toc108529852"/>
      <w:r>
        <w:rPr>
          <w:rFonts w:hint="eastAsia" w:ascii="方正黑体_GBK" w:eastAsia="方正黑体_GBK"/>
          <w:b w:val="0"/>
          <w:bCs w:val="0"/>
          <w:sz w:val="32"/>
          <w:szCs w:val="32"/>
        </w:rPr>
        <w:t xml:space="preserve">第一部分 </w:t>
      </w:r>
      <w:r>
        <w:rPr>
          <w:rFonts w:hint="eastAsia" w:ascii="方正黑体_GBK" w:eastAsia="方正黑体_GBK"/>
          <w:bCs w:val="0"/>
          <w:sz w:val="32"/>
          <w:szCs w:val="32"/>
        </w:rPr>
        <w:t>单位概况</w:t>
      </w:r>
      <w:bookmarkEnd w:id="14"/>
      <w:bookmarkEnd w:id="15"/>
    </w:p>
    <w:p>
      <w:pPr>
        <w:pStyle w:val="3"/>
        <w:keepNext w:val="0"/>
        <w:keepLines w:val="0"/>
        <w:topLinePunct/>
        <w:spacing w:before="0" w:after="0" w:line="240" w:lineRule="auto"/>
        <w:ind w:firstLine="632" w:firstLineChars="200"/>
        <w:rPr>
          <w:rFonts w:ascii="Times New Roman" w:hAnsi="Times New Roman" w:eastAsia="方正黑体_GBK" w:cs="Times New Roman"/>
          <w:b w:val="0"/>
          <w:bCs w:val="0"/>
          <w:color w:val="000000"/>
          <w:highlight w:val="yellow"/>
        </w:rPr>
      </w:pPr>
      <w:bookmarkStart w:id="16" w:name="_Toc80956153"/>
      <w:bookmarkStart w:id="17" w:name="_Toc108529853"/>
      <w:bookmarkStart w:id="18" w:name="_Toc15377197"/>
      <w:bookmarkStart w:id="19" w:name="_Toc15378446"/>
      <w:bookmarkStart w:id="20" w:name="_Toc15377199"/>
    </w:p>
    <w:p>
      <w:pPr>
        <w:pStyle w:val="3"/>
        <w:keepNext w:val="0"/>
        <w:keepLines w:val="0"/>
        <w:topLinePunct/>
        <w:spacing w:before="0" w:after="0" w:line="240" w:lineRule="auto"/>
        <w:ind w:firstLine="632" w:firstLineChars="200"/>
        <w:rPr>
          <w:rStyle w:val="28"/>
          <w:rFonts w:ascii="Times New Roman" w:hAnsi="Times New Roman" w:eastAsia="方正黑体_GBK" w:cs="Times New Roman"/>
          <w:b w:val="0"/>
          <w:bCs w:val="0"/>
          <w:highlight w:val="none"/>
        </w:rPr>
      </w:pPr>
      <w:r>
        <w:rPr>
          <w:rFonts w:ascii="Times New Roman" w:hAnsi="Times New Roman" w:eastAsia="方正黑体_GBK" w:cs="Times New Roman"/>
          <w:b w:val="0"/>
          <w:bCs w:val="0"/>
          <w:color w:val="000000"/>
          <w:highlight w:val="none"/>
        </w:rPr>
        <w:t>一、基</w:t>
      </w:r>
      <w:r>
        <w:rPr>
          <w:rStyle w:val="28"/>
          <w:rFonts w:ascii="Times New Roman" w:hAnsi="Times New Roman" w:eastAsia="方正黑体_GBK" w:cs="Times New Roman"/>
          <w:b w:val="0"/>
          <w:bCs w:val="0"/>
          <w:highlight w:val="none"/>
        </w:rPr>
        <w:t>本职能及主要工作</w:t>
      </w:r>
      <w:bookmarkEnd w:id="16"/>
      <w:bookmarkEnd w:id="17"/>
      <w:bookmarkEnd w:id="18"/>
    </w:p>
    <w:p>
      <w:pPr>
        <w:pStyle w:val="7"/>
        <w:topLinePunct/>
        <w:adjustRightInd w:val="0"/>
        <w:spacing w:after="0"/>
        <w:ind w:firstLine="664" w:firstLineChars="210"/>
        <w:outlineLvl w:val="2"/>
        <w:rPr>
          <w:rFonts w:eastAsia="方正仿宋_GBK"/>
          <w:color w:val="000000"/>
          <w:highlight w:val="none"/>
        </w:rPr>
      </w:pPr>
      <w:bookmarkStart w:id="21" w:name="_Toc15378445"/>
      <w:bookmarkStart w:id="22" w:name="_Toc15377198"/>
      <w:r>
        <w:rPr>
          <w:rFonts w:eastAsia="方正仿宋_GBK"/>
          <w:color w:val="000000"/>
          <w:highlight w:val="none"/>
        </w:rPr>
        <w:t>（一）主要职能。</w:t>
      </w:r>
      <w:bookmarkEnd w:id="21"/>
      <w:bookmarkEnd w:id="22"/>
    </w:p>
    <w:p>
      <w:pPr>
        <w:topLinePunct/>
        <w:spacing w:line="540" w:lineRule="exact"/>
        <w:ind w:firstLine="552" w:firstLineChars="200"/>
        <w:rPr>
          <w:rFonts w:eastAsia="方正仿宋_GBK"/>
          <w:color w:val="000000"/>
          <w:highlight w:val="none"/>
        </w:rPr>
      </w:pPr>
      <w:r>
        <w:rPr>
          <w:rFonts w:hint="eastAsia" w:asciiTheme="minorEastAsia" w:hAnsiTheme="minorEastAsia" w:eastAsiaTheme="minorEastAsia" w:cstheme="minorEastAsia"/>
          <w:color w:val="000000"/>
          <w:sz w:val="28"/>
          <w:szCs w:val="28"/>
          <w:lang w:val="en-US" w:eastAsia="zh-CN"/>
        </w:rPr>
        <w:t>我院创办于1937年，其前身是“序宾儿科诊所”，解放后公私合营改名为“西城区儿童医院”，1985年，改名“成都儿童医院”，1991年更名为“成都儿童专科医院”。我院是政府举办的非营利性公立医院，集医疗、科研、教学、预防保健为一体，是西南地区历史最悠久的一所二级甲等儿童专科医院，医院现有青羊、成华两个院区。医院拥有小儿呼吸内科、消化内科、神经内科、血液肾病、中医、小儿外科、口腔科、皮肤科等多学科的专家队伍。多名专家担任国家、省市级医学会、各专委会委员及成都市儿科质控中心专家成员。医院现有编制床位210张，年门诊量30-40万人次，年收治住院病人，6000余人次，年业务收入1.22亿。设有小儿呼吸内科、消化内科、神经内科、血液肾病、小儿外科、儿童预防保健、中医科、口腔科、眼-耳鼻喉科、皮肤科等22个临床专科和亚专业，是成都市青羊区儿科质量控制中心。长期以来，医院重视医疗技术的提高和学科发展建设，开展了小儿外科微创腔镜治疗、小儿无痛电子胃镜检查、肺功能检查、一氧化氮检测、13-碳呼吸实验检测幽门螺杆菌感染、脑电地形图、鼻腔负压置换、鼻耳内镜检查、耳针等40余项专业技术。我院历史悠久的经方验方院内制剂蓝板感冒冲剂、退热颗粒、麻杏咳喘颗粒、山楂消食颗粒、玄黄清咽糖浆、地霜等十余种院内制剂已有数十年历史。在学科建设方面，小儿消化内科是市级重点专科。在临床科研方面，我院省级科研项目《EV/EV71/CA16-SAT检测在儿童手足口病中的应用价值》已经结题并获得省内先进的鉴定结论。信息化建设方面，医院曾在2015年被评为四川省数字化医院，医院信息化建设完善，支付宝、微信及天府市民云均可以预约挂号，减少了挂号缴费的排队等待时间。医院作为政府举办的公立医院，充分体现医院的公益性，积极承担各种社会责任，全体儿专人本着“立足青羊，服务全市”的运营理念，将继续秉承“医者德为先”的核心价值观和“德高、业精、公益、安全”的医院服务宗旨，以精湛的医术和高度的责任感承载生命的重托而努力奋斗！</w:t>
      </w:r>
    </w:p>
    <w:p>
      <w:pPr>
        <w:pStyle w:val="7"/>
        <w:topLinePunct/>
        <w:adjustRightInd w:val="0"/>
        <w:spacing w:after="0"/>
        <w:ind w:firstLine="664" w:firstLineChars="210"/>
        <w:outlineLvl w:val="2"/>
        <w:rPr>
          <w:rFonts w:eastAsia="方正仿宋_GBK"/>
          <w:color w:val="000000"/>
          <w:highlight w:val="none"/>
        </w:rPr>
      </w:pPr>
      <w:r>
        <w:rPr>
          <w:rFonts w:eastAsia="方正仿宋_GBK"/>
          <w:color w:val="000000"/>
          <w:highlight w:val="none"/>
        </w:rPr>
        <w:t>（二）2021年重点工作完成情况。</w:t>
      </w:r>
    </w:p>
    <w:p>
      <w:pPr>
        <w:topLinePunct/>
        <w:spacing w:line="540" w:lineRule="exact"/>
        <w:ind w:firstLine="552" w:firstLineChars="200"/>
        <w:rPr>
          <w:rFonts w:eastAsia="方正仿宋_GBK"/>
          <w:color w:val="000000"/>
          <w:highlight w:val="yellow"/>
        </w:rPr>
      </w:pPr>
      <w:r>
        <w:rPr>
          <w:rFonts w:hint="eastAsia" w:asciiTheme="minorEastAsia" w:hAnsiTheme="minorEastAsia" w:eastAsiaTheme="minorEastAsia" w:cstheme="minorEastAsia"/>
          <w:color w:val="000000"/>
          <w:sz w:val="28"/>
          <w:szCs w:val="28"/>
          <w:lang w:val="en-US" w:eastAsia="zh-CN"/>
        </w:rPr>
        <w:t>由于2021年疫情的常态化管理，我院在疫情防控中继续做好医疗保障工作，参与中考等各类考试等医疗保障6次，派出保障人员33人，在2021年11月成都发生疫情时曾先后抽调59名工作人员71人次开展大规模核酸采样工作，作为临时核酸采样点，还完成了全市重点人群2326人核酸检测，同时抽调医生参加机场疫情防控排查与酒店隔离工作。因受疫情影响，方便患者就医，经青羊区行政审批局批准，我院新增“互联网诊疗”服务，成为成都市青羊区首个取得“互联网医院”执业许可的公立医院，实现在线复诊、远程会诊、开具电子处方、慢病管理、药品配送等医疗业务满足市民多层次、多样化、个性化的医疗健康需求。我院小儿消化专业于2021年7月顺利通过成都市医学重点专科立项，实现从0到1的历史性突破。2021年我院《EV/EV71/CA16-SAT检测在儿童手足口病中的应用价值》科研项目通过四川省科技促进发展研究中心科技成果评价，评价结果为“达到省内先进水平”。为拓展医院业务发展，本年还完成了皮肤科水疗室、城北分院儿童语言发育与测评室、互联网直播间的新建和雾化室改建。接受上级安全生产检查19次，及时按要求整改。组织新冠疫情处置、防汛、放射事故、反恐和消防等各项应急演练共计11次。全年无重大安全事故。</w:t>
      </w:r>
    </w:p>
    <w:p>
      <w:pPr>
        <w:pStyle w:val="3"/>
        <w:keepNext w:val="0"/>
        <w:keepLines w:val="0"/>
        <w:topLinePunct/>
        <w:spacing w:before="0" w:after="0" w:line="240" w:lineRule="auto"/>
        <w:ind w:firstLine="632" w:firstLineChars="200"/>
        <w:rPr>
          <w:rFonts w:ascii="Times New Roman" w:hAnsi="Times New Roman" w:eastAsia="方正黑体_GBK" w:cs="Times New Roman"/>
          <w:b w:val="0"/>
          <w:bCs w:val="0"/>
          <w:color w:val="000000"/>
          <w:highlight w:val="none"/>
        </w:rPr>
      </w:pPr>
      <w:bookmarkStart w:id="23" w:name="_Toc80956154"/>
      <w:bookmarkStart w:id="24" w:name="_Toc15377200"/>
      <w:bookmarkStart w:id="25" w:name="_Toc108529854"/>
      <w:r>
        <w:rPr>
          <w:rFonts w:ascii="Times New Roman" w:hAnsi="Times New Roman" w:eastAsia="方正黑体_GBK" w:cs="Times New Roman"/>
          <w:b w:val="0"/>
          <w:bCs w:val="0"/>
          <w:color w:val="000000"/>
          <w:highlight w:val="none"/>
        </w:rPr>
        <w:t>二、机构设置</w:t>
      </w:r>
      <w:bookmarkEnd w:id="23"/>
      <w:bookmarkEnd w:id="24"/>
      <w:bookmarkEnd w:id="25"/>
    </w:p>
    <w:p>
      <w:pPr>
        <w:pStyle w:val="7"/>
        <w:topLinePunct/>
        <w:adjustRightInd w:val="0"/>
        <w:spacing w:after="0"/>
        <w:ind w:firstLine="580" w:firstLineChars="210"/>
        <w:rPr>
          <w:rFonts w:hint="eastAsia" w:asciiTheme="minorEastAsia" w:hAnsiTheme="minorEastAsia" w:eastAsiaTheme="minorEastAsia" w:cstheme="minorEastAsia"/>
          <w:color w:val="000000"/>
          <w:kern w:val="2"/>
          <w:sz w:val="28"/>
          <w:szCs w:val="28"/>
          <w:lang w:val="en-US" w:eastAsia="zh-CN" w:bidi="ar-SA"/>
        </w:rPr>
      </w:pPr>
      <w:r>
        <w:rPr>
          <w:rFonts w:hint="eastAsia" w:asciiTheme="minorEastAsia" w:hAnsiTheme="minorEastAsia" w:eastAsiaTheme="minorEastAsia" w:cstheme="minorEastAsia"/>
          <w:color w:val="000000"/>
          <w:kern w:val="2"/>
          <w:sz w:val="28"/>
          <w:szCs w:val="28"/>
          <w:lang w:val="en-US" w:eastAsia="zh-CN" w:bidi="ar-SA"/>
        </w:rPr>
        <w:t>成都儿童专科医院由22个临床专科和亚专业组成，分别是小儿呼吸内科、消化内科、神经内科、血液肾病、小儿外科、儿童预防保健、中医科、口腔科、眼-耳鼻喉科、皮肤科等。</w:t>
      </w:r>
    </w:p>
    <w:p>
      <w:pPr>
        <w:pStyle w:val="7"/>
        <w:topLinePunct/>
        <w:adjustRightInd w:val="0"/>
        <w:spacing w:after="0"/>
        <w:ind w:firstLine="580" w:firstLineChars="210"/>
        <w:outlineLvl w:val="1"/>
        <w:rPr>
          <w:rFonts w:hint="eastAsia" w:asciiTheme="minorEastAsia" w:hAnsiTheme="minorEastAsia" w:eastAsiaTheme="minorEastAsia" w:cstheme="minorEastAsia"/>
          <w:color w:val="000000"/>
          <w:kern w:val="2"/>
          <w:sz w:val="28"/>
          <w:szCs w:val="28"/>
          <w:lang w:val="en-US" w:eastAsia="zh-CN" w:bidi="ar-SA"/>
        </w:rPr>
      </w:pPr>
    </w:p>
    <w:bookmarkEnd w:id="19"/>
    <w:bookmarkEnd w:id="20"/>
    <w:p>
      <w:pPr>
        <w:pStyle w:val="2"/>
        <w:keepNext w:val="0"/>
        <w:keepLines w:val="0"/>
        <w:topLinePunct/>
        <w:spacing w:before="0" w:after="0" w:line="240" w:lineRule="auto"/>
        <w:jc w:val="center"/>
        <w:rPr>
          <w:rFonts w:eastAsia="方正黑体_GBK"/>
          <w:b w:val="0"/>
          <w:bCs w:val="0"/>
          <w:sz w:val="32"/>
          <w:szCs w:val="32"/>
        </w:rPr>
      </w:pPr>
      <w:bookmarkStart w:id="26" w:name="_Toc15377204"/>
      <w:r>
        <w:rPr>
          <w:rFonts w:eastAsia="方正黑体_GBK"/>
          <w:b w:val="0"/>
          <w:bCs w:val="0"/>
          <w:sz w:val="32"/>
          <w:szCs w:val="32"/>
        </w:rPr>
        <w:br w:type="page"/>
      </w:r>
      <w:bookmarkStart w:id="27" w:name="_Toc108529855"/>
      <w:r>
        <w:rPr>
          <w:rFonts w:eastAsia="方正黑体_GBK"/>
          <w:b w:val="0"/>
          <w:bCs w:val="0"/>
          <w:sz w:val="32"/>
          <w:szCs w:val="32"/>
        </w:rPr>
        <w:t>第二部分 2021年度部门决算情况说明</w:t>
      </w:r>
      <w:bookmarkEnd w:id="26"/>
      <w:bookmarkEnd w:id="27"/>
    </w:p>
    <w:p>
      <w:pPr>
        <w:topLinePunct/>
        <w:rPr>
          <w:rFonts w:eastAsia="方正仿宋_GBK"/>
        </w:rPr>
      </w:pPr>
    </w:p>
    <w:p>
      <w:pPr>
        <w:pStyle w:val="3"/>
        <w:keepNext w:val="0"/>
        <w:keepLines w:val="0"/>
        <w:topLinePunct/>
        <w:spacing w:before="0" w:after="0" w:line="540" w:lineRule="exact"/>
        <w:ind w:firstLine="632" w:firstLineChars="200"/>
        <w:rPr>
          <w:rFonts w:ascii="Times New Roman" w:hAnsi="Times New Roman" w:eastAsia="方正黑体_GBK" w:cs="Times New Roman"/>
          <w:b w:val="0"/>
          <w:color w:val="000000"/>
        </w:rPr>
      </w:pPr>
      <w:bookmarkStart w:id="28" w:name="_Toc108529856"/>
      <w:bookmarkStart w:id="29" w:name="_Toc15377205"/>
      <w:r>
        <w:rPr>
          <w:rFonts w:ascii="Times New Roman" w:hAnsi="Times New Roman" w:eastAsia="方正黑体_GBK" w:cs="Times New Roman"/>
          <w:b w:val="0"/>
          <w:bCs w:val="0"/>
          <w:color w:val="000000"/>
        </w:rPr>
        <w:t>一、收</w:t>
      </w:r>
      <w:r>
        <w:rPr>
          <w:rFonts w:ascii="Times New Roman" w:hAnsi="Times New Roman" w:eastAsia="方正黑体_GBK" w:cs="Times New Roman"/>
          <w:b w:val="0"/>
          <w:color w:val="000000"/>
        </w:rPr>
        <w:t>入支出决算总体情况说明</w:t>
      </w:r>
      <w:bookmarkEnd w:id="28"/>
      <w:bookmarkEnd w:id="29"/>
    </w:p>
    <w:p>
      <w:pPr>
        <w:topLinePunct/>
        <w:spacing w:line="540" w:lineRule="exact"/>
        <w:ind w:firstLine="552" w:firstLineChars="200"/>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2021年度收入总计为13025.35万元，支出总计为13505.66万元</w:t>
      </w:r>
      <w:r>
        <w:rPr>
          <w:rFonts w:hint="eastAsia" w:ascii="宋体" w:hAnsi="宋体" w:eastAsia="宋体" w:cs="宋体"/>
          <w:color w:val="000000"/>
          <w:sz w:val="28"/>
          <w:szCs w:val="28"/>
        </w:rPr>
        <w:t>。与2020年相比，</w:t>
      </w:r>
      <w:r>
        <w:rPr>
          <w:rFonts w:hint="eastAsia" w:ascii="宋体" w:hAnsi="宋体" w:eastAsia="宋体" w:cs="宋体"/>
          <w:color w:val="000000"/>
          <w:sz w:val="28"/>
          <w:szCs w:val="28"/>
          <w:lang w:eastAsia="zh-CN"/>
        </w:rPr>
        <w:t>收入总计增加</w:t>
      </w:r>
      <w:r>
        <w:rPr>
          <w:rFonts w:hint="eastAsia" w:ascii="宋体" w:hAnsi="宋体" w:eastAsia="宋体" w:cs="宋体"/>
          <w:color w:val="000000"/>
          <w:sz w:val="28"/>
          <w:szCs w:val="28"/>
          <w:lang w:val="en-US" w:eastAsia="zh-CN"/>
        </w:rPr>
        <w:t>2338.15万元，增长22%；支出</w:t>
      </w:r>
      <w:r>
        <w:rPr>
          <w:rFonts w:hint="eastAsia" w:ascii="宋体" w:hAnsi="宋体" w:eastAsia="宋体" w:cs="宋体"/>
          <w:color w:val="000000"/>
          <w:sz w:val="28"/>
          <w:szCs w:val="28"/>
        </w:rPr>
        <w:t>总计增加</w:t>
      </w:r>
      <w:r>
        <w:rPr>
          <w:rFonts w:hint="eastAsia" w:ascii="宋体" w:hAnsi="宋体" w:eastAsia="宋体" w:cs="宋体"/>
          <w:color w:val="000000"/>
          <w:sz w:val="28"/>
          <w:szCs w:val="28"/>
          <w:lang w:val="en-US" w:eastAsia="zh-CN"/>
        </w:rPr>
        <w:t>1717.97万元</w:t>
      </w:r>
      <w:r>
        <w:rPr>
          <w:rFonts w:hint="eastAsia" w:ascii="宋体" w:hAnsi="宋体" w:eastAsia="宋体" w:cs="宋体"/>
          <w:color w:val="000000"/>
          <w:sz w:val="28"/>
          <w:szCs w:val="28"/>
        </w:rPr>
        <w:t>，增长</w:t>
      </w:r>
      <w:r>
        <w:rPr>
          <w:rFonts w:hint="eastAsia" w:ascii="宋体" w:hAnsi="宋体" w:eastAsia="宋体" w:cs="宋体"/>
          <w:color w:val="000000"/>
          <w:sz w:val="28"/>
          <w:szCs w:val="28"/>
          <w:lang w:val="en-US" w:eastAsia="zh-CN"/>
        </w:rPr>
        <w:t>15</w:t>
      </w:r>
      <w:r>
        <w:rPr>
          <w:rFonts w:hint="eastAsia" w:ascii="宋体" w:hAnsi="宋体" w:eastAsia="宋体" w:cs="宋体"/>
          <w:color w:val="000000"/>
          <w:sz w:val="28"/>
          <w:szCs w:val="28"/>
        </w:rPr>
        <w:t>%。主要变动原因是2021年度疫情好转带来的医疗业务收入增加</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医疗支出也相应增加。</w:t>
      </w:r>
    </w:p>
    <w:p>
      <w:pPr>
        <w:topLinePunct/>
        <w:spacing w:line="540" w:lineRule="exact"/>
        <w:ind w:firstLine="632" w:firstLineChars="200"/>
        <w:rPr>
          <w:rFonts w:eastAsia="方正仿宋_GBK"/>
          <w:color w:val="000000"/>
          <w:highlight w:val="none"/>
        </w:rPr>
      </w:pPr>
      <w:r>
        <w:rPr>
          <w:rFonts w:eastAsia="方正仿宋_GBK"/>
          <w:color w:val="000000"/>
          <w:highlight w:val="none"/>
        </w:rPr>
        <w:t>（图1：收、支决算总计变动情况图）（柱状图）</w:t>
      </w:r>
      <w:bookmarkStart w:id="30" w:name="_Toc15377206"/>
    </w:p>
    <w:p>
      <w:pPr>
        <w:topLinePunct/>
        <w:spacing w:line="540" w:lineRule="exact"/>
        <w:ind w:firstLine="632" w:firstLineChars="200"/>
        <w:rPr>
          <w:rFonts w:eastAsia="方正仿宋_GBK"/>
          <w:color w:val="000000"/>
          <w:highlight w:val="none"/>
        </w:rPr>
      </w:pPr>
    </w:p>
    <w:p>
      <w:pPr>
        <w:rPr>
          <w:rFonts w:ascii="Times New Roman" w:hAnsi="Times New Roman" w:eastAsia="方正黑体_GBK" w:cs="Times New Roman"/>
          <w:b w:val="0"/>
          <w:bCs w:val="0"/>
          <w:color w:val="000000"/>
        </w:rPr>
      </w:pPr>
      <w:r>
        <w:rPr>
          <w:rFonts w:hint="eastAsia"/>
          <w:lang w:val="en-US" w:eastAsia="zh-CN"/>
        </w:rPr>
        <w:t xml:space="preserve">      </w:t>
      </w:r>
      <w:r>
        <w:drawing>
          <wp:inline distT="0" distB="0" distL="114300" distR="114300">
            <wp:extent cx="4037965" cy="2473325"/>
            <wp:effectExtent l="4445" t="4445" r="15240" b="17780"/>
            <wp:docPr id="1169"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pPr>
        <w:rPr>
          <w:rFonts w:ascii="Times New Roman" w:hAnsi="Times New Roman" w:eastAsia="方正黑体_GBK" w:cs="Times New Roman"/>
          <w:b w:val="0"/>
          <w:bCs w:val="0"/>
          <w:color w:val="000000"/>
        </w:rPr>
      </w:pPr>
    </w:p>
    <w:p>
      <w:pPr>
        <w:pStyle w:val="3"/>
        <w:keepNext w:val="0"/>
        <w:keepLines w:val="0"/>
        <w:topLinePunct/>
        <w:spacing w:before="0" w:after="0" w:line="540" w:lineRule="exact"/>
        <w:ind w:firstLine="632" w:firstLineChars="200"/>
        <w:rPr>
          <w:rFonts w:eastAsia="方正黑体_GBK"/>
          <w:b w:val="0"/>
          <w:color w:val="000000"/>
        </w:rPr>
      </w:pPr>
      <w:bookmarkStart w:id="31" w:name="_Toc108529857"/>
      <w:r>
        <w:rPr>
          <w:rFonts w:hint="eastAsia" w:ascii="Times New Roman" w:hAnsi="Times New Roman" w:eastAsia="方正黑体_GBK" w:cs="Times New Roman"/>
          <w:b w:val="0"/>
          <w:bCs w:val="0"/>
          <w:color w:val="000000"/>
        </w:rPr>
        <w:t>二、</w:t>
      </w:r>
      <w:r>
        <w:rPr>
          <w:rFonts w:ascii="Times New Roman" w:hAnsi="Times New Roman" w:eastAsia="方正黑体_GBK" w:cs="Times New Roman"/>
          <w:b w:val="0"/>
          <w:bCs w:val="0"/>
          <w:color w:val="000000"/>
        </w:rPr>
        <w:t>收</w:t>
      </w:r>
      <w:r>
        <w:rPr>
          <w:rFonts w:hint="eastAsia" w:eastAsia="方正黑体_GBK"/>
          <w:b w:val="0"/>
          <w:color w:val="000000"/>
        </w:rPr>
        <w:t>入决算情况说明</w:t>
      </w:r>
      <w:bookmarkEnd w:id="30"/>
      <w:bookmarkEnd w:id="31"/>
    </w:p>
    <w:p>
      <w:pPr>
        <w:topLinePunct/>
        <w:spacing w:line="540" w:lineRule="exact"/>
        <w:ind w:firstLine="552"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2021年本年收入合计13025.35万元，其中：一般公共预算财政拨款收入1523.52万元，占12%；事业收入11327.24万元，占87%；其他收入174.59万元，占1%。</w:t>
      </w:r>
    </w:p>
    <w:p>
      <w:pPr>
        <w:topLinePunct/>
        <w:spacing w:line="540" w:lineRule="exact"/>
        <w:rPr>
          <w:rFonts w:eastAsia="方正仿宋_GBK"/>
          <w:color w:val="000000"/>
        </w:rPr>
      </w:pPr>
    </w:p>
    <w:p>
      <w:pPr>
        <w:topLinePunct/>
        <w:spacing w:line="540" w:lineRule="exact"/>
        <w:ind w:firstLine="632" w:firstLineChars="200"/>
        <w:rPr>
          <w:rFonts w:eastAsia="方正仿宋_GBK"/>
          <w:color w:val="000000"/>
          <w:highlight w:val="none"/>
        </w:rPr>
      </w:pPr>
      <w:r>
        <w:rPr>
          <w:rFonts w:eastAsia="方正仿宋_GBK"/>
          <w:color w:val="000000"/>
          <w:highlight w:val="none"/>
        </w:rPr>
        <w:t>（图2：收入决算结构图）（饼状图）</w:t>
      </w:r>
    </w:p>
    <w:p>
      <w:pPr>
        <w:pStyle w:val="3"/>
        <w:keepNext w:val="0"/>
        <w:keepLines w:val="0"/>
        <w:topLinePunct/>
        <w:spacing w:before="0" w:after="0" w:line="540" w:lineRule="exact"/>
        <w:ind w:firstLine="632" w:firstLineChars="200"/>
        <w:rPr>
          <w:rFonts w:ascii="Times New Roman" w:hAnsi="Times New Roman" w:eastAsia="方正黑体_GBK" w:cs="Times New Roman"/>
          <w:b w:val="0"/>
          <w:bCs w:val="0"/>
          <w:color w:val="000000"/>
        </w:rPr>
      </w:pPr>
      <w:bookmarkStart w:id="32" w:name="_Toc15377207"/>
    </w:p>
    <w:p>
      <w:pPr>
        <w:rPr>
          <w:rFonts w:ascii="Times New Roman" w:hAnsi="Times New Roman" w:eastAsia="方正黑体_GBK" w:cs="Times New Roman"/>
          <w:b w:val="0"/>
          <w:bCs w:val="0"/>
          <w:color w:val="000000"/>
        </w:rPr>
      </w:pPr>
      <w:r>
        <w:drawing>
          <wp:inline distT="0" distB="0" distL="114300" distR="114300">
            <wp:extent cx="5191125" cy="2489835"/>
            <wp:effectExtent l="4445" t="4445" r="5080" b="20320"/>
            <wp:docPr id="1170" name="图表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rPr>
          <w:rFonts w:ascii="Times New Roman" w:hAnsi="Times New Roman" w:eastAsia="方正黑体_GBK" w:cs="Times New Roman"/>
          <w:b w:val="0"/>
          <w:bCs w:val="0"/>
          <w:color w:val="000000"/>
        </w:rPr>
      </w:pPr>
    </w:p>
    <w:p>
      <w:pPr>
        <w:pStyle w:val="3"/>
        <w:keepNext w:val="0"/>
        <w:keepLines w:val="0"/>
        <w:topLinePunct/>
        <w:spacing w:before="0" w:after="0" w:line="540" w:lineRule="exact"/>
        <w:ind w:firstLine="632" w:firstLineChars="200"/>
        <w:rPr>
          <w:rFonts w:eastAsia="方正黑体_GBK"/>
          <w:b w:val="0"/>
          <w:color w:val="000000"/>
        </w:rPr>
      </w:pPr>
      <w:bookmarkStart w:id="33" w:name="_Toc108529858"/>
      <w:r>
        <w:rPr>
          <w:rFonts w:hint="eastAsia" w:ascii="Times New Roman" w:hAnsi="Times New Roman" w:eastAsia="方正黑体_GBK" w:cs="Times New Roman"/>
          <w:b w:val="0"/>
          <w:bCs w:val="0"/>
          <w:color w:val="000000"/>
        </w:rPr>
        <w:t>三、</w:t>
      </w:r>
      <w:r>
        <w:rPr>
          <w:rFonts w:ascii="Times New Roman" w:hAnsi="Times New Roman" w:eastAsia="方正黑体_GBK" w:cs="Times New Roman"/>
          <w:b w:val="0"/>
          <w:bCs w:val="0"/>
          <w:color w:val="000000"/>
        </w:rPr>
        <w:t>支</w:t>
      </w:r>
      <w:r>
        <w:rPr>
          <w:rFonts w:hint="eastAsia" w:eastAsia="方正黑体_GBK"/>
          <w:b w:val="0"/>
          <w:color w:val="000000"/>
        </w:rPr>
        <w:t>出决算情况说明</w:t>
      </w:r>
      <w:bookmarkEnd w:id="32"/>
      <w:bookmarkEnd w:id="33"/>
    </w:p>
    <w:p>
      <w:pPr>
        <w:topLinePunct/>
        <w:spacing w:line="540" w:lineRule="exact"/>
        <w:ind w:firstLine="552"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2021年本年支出合计13505.66万元，其中：基本支出12683.1万元，占94%；项目支出822.56万元，占6%。</w:t>
      </w:r>
    </w:p>
    <w:p>
      <w:pPr>
        <w:topLinePunct/>
        <w:spacing w:line="540" w:lineRule="exact"/>
        <w:ind w:firstLine="632" w:firstLineChars="200"/>
        <w:rPr>
          <w:rFonts w:eastAsia="方正仿宋_GBK"/>
          <w:color w:val="000000"/>
          <w:highlight w:val="none"/>
        </w:rPr>
      </w:pPr>
      <w:r>
        <w:rPr>
          <w:rFonts w:eastAsia="方正仿宋_GBK"/>
          <w:color w:val="000000"/>
          <w:highlight w:val="none"/>
        </w:rPr>
        <w:t>（图3：支出决算结构图）（饼状图）</w:t>
      </w:r>
    </w:p>
    <w:p>
      <w:pPr>
        <w:topLinePunct/>
        <w:spacing w:line="540" w:lineRule="exact"/>
        <w:rPr>
          <w:rFonts w:hint="eastAsia" w:eastAsia="方正仿宋_GBK"/>
          <w:color w:val="FF0000"/>
          <w:lang w:eastAsia="zh-CN"/>
        </w:rPr>
      </w:pPr>
    </w:p>
    <w:p>
      <w:pPr>
        <w:topLinePunct/>
        <w:spacing w:line="540" w:lineRule="exact"/>
        <w:ind w:firstLine="632" w:firstLineChars="200"/>
        <w:rPr>
          <w:rFonts w:hint="eastAsia" w:eastAsia="方正仿宋_GBK"/>
          <w:color w:val="FF0000"/>
          <w:lang w:eastAsia="zh-CN"/>
        </w:rPr>
      </w:pPr>
    </w:p>
    <w:p>
      <w:pPr>
        <w:topLinePunct/>
        <w:spacing w:line="540" w:lineRule="exact"/>
        <w:ind w:firstLine="632" w:firstLineChars="200"/>
        <w:rPr>
          <w:rFonts w:hint="eastAsia" w:eastAsia="方正仿宋_GBK"/>
          <w:color w:val="FF0000"/>
          <w:lang w:eastAsia="zh-CN"/>
        </w:rPr>
      </w:pPr>
    </w:p>
    <w:p>
      <w:pPr>
        <w:topLinePunct/>
        <w:spacing w:line="540" w:lineRule="exact"/>
        <w:ind w:firstLine="632" w:firstLineChars="200"/>
        <w:rPr>
          <w:rFonts w:hint="eastAsia" w:eastAsia="方正仿宋_GBK"/>
          <w:color w:val="FF0000"/>
          <w:lang w:eastAsia="zh-CN"/>
        </w:rPr>
      </w:pPr>
    </w:p>
    <w:p>
      <w:pPr>
        <w:topLinePunct/>
        <w:spacing w:line="540" w:lineRule="exact"/>
        <w:ind w:firstLine="632" w:firstLineChars="200"/>
        <w:outlineLvl w:val="1"/>
        <w:rPr>
          <w:rFonts w:hint="eastAsia" w:ascii="方正黑体_GBK" w:eastAsia="方正黑体_GBK"/>
          <w:color w:val="000000"/>
        </w:rPr>
      </w:pPr>
      <w:bookmarkStart w:id="34" w:name="_Toc108529859"/>
      <w:bookmarkStart w:id="35" w:name="_Toc15377208"/>
    </w:p>
    <w:p>
      <w:pPr>
        <w:topLinePunct/>
        <w:spacing w:line="540" w:lineRule="exact"/>
        <w:ind w:firstLine="632" w:firstLineChars="200"/>
        <w:outlineLvl w:val="1"/>
        <w:rPr>
          <w:rFonts w:hint="eastAsia" w:ascii="方正黑体_GBK" w:eastAsia="方正黑体_GBK"/>
          <w:color w:val="000000"/>
        </w:rPr>
      </w:pPr>
    </w:p>
    <w:p>
      <w:pPr>
        <w:topLinePunct/>
        <w:spacing w:line="540" w:lineRule="exact"/>
        <w:ind w:firstLine="632" w:firstLineChars="200"/>
        <w:outlineLvl w:val="1"/>
        <w:rPr>
          <w:rFonts w:hint="eastAsia" w:ascii="方正黑体_GBK" w:eastAsia="方正黑体_GBK"/>
          <w:color w:val="000000"/>
        </w:rPr>
      </w:pPr>
    </w:p>
    <w:p>
      <w:pPr>
        <w:topLinePunct/>
        <w:spacing w:line="540" w:lineRule="exact"/>
        <w:ind w:firstLine="632" w:firstLineChars="200"/>
        <w:outlineLvl w:val="1"/>
        <w:rPr>
          <w:rFonts w:hint="eastAsia" w:ascii="方正黑体_GBK" w:eastAsia="方正黑体_GBK"/>
          <w:color w:val="000000"/>
        </w:rPr>
      </w:pPr>
      <w:r>
        <w:drawing>
          <wp:anchor distT="0" distB="0" distL="114300" distR="114300" simplePos="0" relativeHeight="251662336" behindDoc="1" locked="0" layoutInCell="1" allowOverlap="1">
            <wp:simplePos x="0" y="0"/>
            <wp:positionH relativeFrom="column">
              <wp:posOffset>405765</wp:posOffset>
            </wp:positionH>
            <wp:positionV relativeFrom="paragraph">
              <wp:posOffset>-2045335</wp:posOffset>
            </wp:positionV>
            <wp:extent cx="4734560" cy="2301875"/>
            <wp:effectExtent l="4445" t="4445" r="23495" b="17780"/>
            <wp:wrapTight wrapText="bothSides">
              <wp:wrapPolygon>
                <wp:start x="-20" y="-42"/>
                <wp:lineTo x="-20" y="21409"/>
                <wp:lineTo x="21533" y="21409"/>
                <wp:lineTo x="21533" y="-42"/>
                <wp:lineTo x="-20" y="-42"/>
              </wp:wrapPolygon>
            </wp:wrapTight>
            <wp:docPr id="1171" name="图表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p>
    <w:p>
      <w:pPr>
        <w:topLinePunct/>
        <w:spacing w:line="540" w:lineRule="exact"/>
        <w:ind w:firstLine="632" w:firstLineChars="200"/>
        <w:outlineLvl w:val="1"/>
        <w:rPr>
          <w:rFonts w:hint="eastAsia" w:ascii="方正黑体_GBK" w:eastAsia="方正黑体_GBK"/>
          <w:color w:val="000000"/>
        </w:rPr>
      </w:pPr>
    </w:p>
    <w:p>
      <w:pPr>
        <w:topLinePunct/>
        <w:spacing w:line="540" w:lineRule="exact"/>
        <w:ind w:firstLine="632" w:firstLineChars="200"/>
        <w:outlineLvl w:val="1"/>
        <w:rPr>
          <w:rStyle w:val="28"/>
          <w:rFonts w:ascii="方正黑体_GBK" w:hAnsi="Times New Roman" w:eastAsia="方正黑体_GBK" w:cs="Times New Roman"/>
          <w:b w:val="0"/>
          <w:bCs w:val="0"/>
        </w:rPr>
      </w:pPr>
      <w:r>
        <w:rPr>
          <w:rFonts w:hint="eastAsia" w:ascii="方正黑体_GBK" w:eastAsia="方正黑体_GBK"/>
          <w:color w:val="000000"/>
        </w:rPr>
        <w:t>四、财</w:t>
      </w:r>
      <w:r>
        <w:rPr>
          <w:rStyle w:val="28"/>
          <w:rFonts w:hint="eastAsia" w:ascii="方正黑体_GBK" w:hAnsi="Times New Roman" w:eastAsia="方正黑体_GBK" w:cs="Times New Roman"/>
          <w:b w:val="0"/>
          <w:bCs w:val="0"/>
        </w:rPr>
        <w:t>政拨款收入支出决算总体情况说明</w:t>
      </w:r>
      <w:bookmarkEnd w:id="34"/>
      <w:bookmarkEnd w:id="35"/>
    </w:p>
    <w:p>
      <w:pPr>
        <w:topLinePunct/>
        <w:spacing w:line="540" w:lineRule="exact"/>
        <w:ind w:firstLine="552"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2021年财政拨款收、支总计均为1523.52万元。与2020年相比，财政拨款收、支总计各减少451.62万元，下降23%。主要变动原因是2020年有国债资金。</w:t>
      </w:r>
    </w:p>
    <w:p>
      <w:pPr>
        <w:topLinePunct/>
        <w:spacing w:line="540" w:lineRule="exact"/>
        <w:ind w:firstLine="632" w:firstLineChars="200"/>
        <w:rPr>
          <w:rFonts w:eastAsia="方正仿宋_GBK"/>
          <w:color w:val="000000"/>
          <w:highlight w:val="none"/>
        </w:rPr>
      </w:pPr>
      <w:r>
        <w:rPr>
          <w:rFonts w:eastAsia="方正仿宋_GBK"/>
          <w:color w:val="000000"/>
          <w:highlight w:val="none"/>
        </w:rPr>
        <w:t>（图4：财政拨款收、支决算总计变动情况）（柱状图）</w:t>
      </w:r>
    </w:p>
    <w:p>
      <w:pPr>
        <w:topLinePunct/>
        <w:spacing w:line="540" w:lineRule="exact"/>
        <w:ind w:firstLine="640"/>
        <w:rPr>
          <w:rFonts w:eastAsia="方正仿宋_GBK"/>
          <w:b/>
          <w:bCs/>
          <w:color w:val="00B050"/>
        </w:rPr>
      </w:pPr>
    </w:p>
    <w:p>
      <w:pPr>
        <w:topLinePunct/>
        <w:spacing w:line="540" w:lineRule="exact"/>
        <w:ind w:firstLine="640"/>
        <w:rPr>
          <w:rFonts w:eastAsia="方正仿宋_GBK"/>
          <w:b/>
          <w:bCs/>
          <w:color w:val="00B050"/>
        </w:rPr>
      </w:pPr>
    </w:p>
    <w:p>
      <w:pPr>
        <w:topLinePunct/>
        <w:spacing w:line="540" w:lineRule="exact"/>
        <w:ind w:firstLine="640"/>
        <w:rPr>
          <w:rFonts w:eastAsia="方正仿宋_GBK"/>
          <w:b/>
          <w:bCs/>
          <w:color w:val="00B050"/>
        </w:rPr>
      </w:pPr>
    </w:p>
    <w:p>
      <w:pPr>
        <w:topLinePunct/>
        <w:spacing w:line="540" w:lineRule="exact"/>
        <w:ind w:firstLine="640"/>
        <w:rPr>
          <w:rFonts w:eastAsia="方正仿宋_GBK"/>
          <w:b/>
          <w:bCs/>
          <w:color w:val="00B050"/>
        </w:rPr>
      </w:pPr>
    </w:p>
    <w:p>
      <w:pPr>
        <w:topLinePunct/>
        <w:spacing w:line="540" w:lineRule="exact"/>
        <w:ind w:firstLine="640"/>
        <w:rPr>
          <w:rFonts w:eastAsia="方正仿宋_GBK"/>
          <w:b/>
          <w:bCs/>
          <w:color w:val="00B050"/>
        </w:rPr>
      </w:pPr>
    </w:p>
    <w:p>
      <w:pPr>
        <w:topLinePunct/>
        <w:spacing w:line="540" w:lineRule="exact"/>
        <w:ind w:firstLine="640"/>
        <w:rPr>
          <w:rFonts w:eastAsia="方正仿宋_GBK"/>
          <w:b/>
          <w:bCs/>
          <w:color w:val="00B050"/>
        </w:rPr>
      </w:pPr>
    </w:p>
    <w:p>
      <w:pPr>
        <w:topLinePunct/>
        <w:spacing w:line="540" w:lineRule="exact"/>
        <w:ind w:firstLine="640"/>
        <w:rPr>
          <w:rFonts w:eastAsia="方正仿宋_GBK"/>
          <w:b/>
          <w:bCs/>
          <w:color w:val="00B050"/>
        </w:rPr>
      </w:pPr>
      <w:r>
        <w:drawing>
          <wp:anchor distT="0" distB="0" distL="114300" distR="114300" simplePos="0" relativeHeight="251659264" behindDoc="0" locked="0" layoutInCell="1" allowOverlap="1">
            <wp:simplePos x="0" y="0"/>
            <wp:positionH relativeFrom="column">
              <wp:posOffset>410845</wp:posOffset>
            </wp:positionH>
            <wp:positionV relativeFrom="paragraph">
              <wp:posOffset>-1892935</wp:posOffset>
            </wp:positionV>
            <wp:extent cx="4372610" cy="2161540"/>
            <wp:effectExtent l="4445" t="4445" r="23495" b="5715"/>
            <wp:wrapSquare wrapText="bothSides"/>
            <wp:docPr id="1172" name="图表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pPr>
        <w:topLinePunct/>
        <w:spacing w:line="540" w:lineRule="exact"/>
        <w:ind w:firstLine="632" w:firstLineChars="200"/>
        <w:outlineLvl w:val="1"/>
        <w:rPr>
          <w:rFonts w:ascii="方正黑体_GBK" w:eastAsia="方正黑体_GBK"/>
          <w:color w:val="000000"/>
        </w:rPr>
      </w:pPr>
      <w:bookmarkStart w:id="36" w:name="_Toc108529860"/>
      <w:bookmarkStart w:id="37" w:name="_Toc15377209"/>
    </w:p>
    <w:p>
      <w:pPr>
        <w:topLinePunct/>
        <w:spacing w:line="540" w:lineRule="exact"/>
        <w:ind w:firstLine="632" w:firstLineChars="200"/>
        <w:outlineLvl w:val="1"/>
        <w:rPr>
          <w:rFonts w:ascii="方正黑体_GBK" w:eastAsia="方正黑体_GBK"/>
          <w:color w:val="000000"/>
        </w:rPr>
      </w:pPr>
      <w:r>
        <w:rPr>
          <w:rFonts w:ascii="方正黑体_GBK" w:eastAsia="方正黑体_GBK"/>
          <w:color w:val="000000"/>
        </w:rPr>
        <w:t>五、一般公共预算财政拨款支出决算情况说明</w:t>
      </w:r>
      <w:bookmarkEnd w:id="36"/>
      <w:bookmarkEnd w:id="37"/>
    </w:p>
    <w:p>
      <w:pPr>
        <w:topLinePunct/>
        <w:spacing w:line="540" w:lineRule="exact"/>
        <w:ind w:firstLine="632" w:firstLineChars="200"/>
        <w:outlineLvl w:val="2"/>
        <w:rPr>
          <w:rFonts w:ascii="方正楷体_GBK" w:eastAsia="方正楷体_GBK"/>
          <w:bCs/>
          <w:color w:val="000000"/>
        </w:rPr>
      </w:pPr>
      <w:bookmarkStart w:id="38" w:name="_Toc15377210"/>
      <w:r>
        <w:rPr>
          <w:rFonts w:hint="eastAsia" w:ascii="方正楷体_GBK" w:eastAsia="方正楷体_GBK"/>
          <w:bCs/>
          <w:color w:val="000000"/>
        </w:rPr>
        <w:t>（一）一般公共预算财政拨款支出决算总体情况</w:t>
      </w:r>
      <w:bookmarkEnd w:id="38"/>
    </w:p>
    <w:p>
      <w:pPr>
        <w:topLinePunct/>
        <w:spacing w:line="540" w:lineRule="exact"/>
        <w:ind w:firstLine="552" w:firstLineChars="20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2021年一般公共预算财政拨款支出1523.52万元，占本年支出合计的11%。与2020年相比，一般公共预算财政拨款支出增加334.62万元，增长28%。主要变动原因是1、退休人员生活补助增加179万元；2、疫情防控资金增加75万元；3、医疗机构儿科门（急）诊专项补助增加98万元。</w:t>
      </w:r>
    </w:p>
    <w:p>
      <w:pPr>
        <w:topLinePunct/>
        <w:spacing w:line="540" w:lineRule="exact"/>
        <w:ind w:firstLine="632" w:firstLineChars="200"/>
        <w:rPr>
          <w:rFonts w:eastAsia="方正仿宋_GBK"/>
          <w:color w:val="000000"/>
          <w:highlight w:val="none"/>
        </w:rPr>
      </w:pPr>
      <w:r>
        <w:rPr>
          <w:rFonts w:eastAsia="方正仿宋_GBK"/>
          <w:color w:val="000000"/>
          <w:highlight w:val="none"/>
        </w:rPr>
        <w:t>（图5：一般公共预算财政拨款支出决算变动情况）（柱状图）</w:t>
      </w: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r>
        <w:drawing>
          <wp:anchor distT="0" distB="0" distL="114300" distR="114300" simplePos="0" relativeHeight="251660288" behindDoc="0" locked="0" layoutInCell="1" allowOverlap="1">
            <wp:simplePos x="0" y="0"/>
            <wp:positionH relativeFrom="column">
              <wp:posOffset>386715</wp:posOffset>
            </wp:positionH>
            <wp:positionV relativeFrom="paragraph">
              <wp:posOffset>-45085</wp:posOffset>
            </wp:positionV>
            <wp:extent cx="4210685" cy="1991360"/>
            <wp:effectExtent l="4445" t="4445" r="13970" b="23495"/>
            <wp:wrapSquare wrapText="bothSides"/>
            <wp:docPr id="1173" name="图表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p>
    <w:p>
      <w:pPr>
        <w:topLinePunct/>
        <w:spacing w:line="540" w:lineRule="exact"/>
        <w:ind w:firstLine="632" w:firstLineChars="200"/>
        <w:outlineLvl w:val="2"/>
        <w:rPr>
          <w:rFonts w:ascii="方正楷体_GBK" w:eastAsia="方正楷体_GBK"/>
          <w:bCs/>
          <w:color w:val="000000"/>
        </w:rPr>
      </w:pPr>
      <w:bookmarkStart w:id="39" w:name="_Toc15377211"/>
    </w:p>
    <w:p>
      <w:pPr>
        <w:topLinePunct/>
        <w:spacing w:line="540" w:lineRule="exact"/>
        <w:ind w:firstLine="632" w:firstLineChars="200"/>
        <w:outlineLvl w:val="2"/>
        <w:rPr>
          <w:rFonts w:ascii="方正楷体_GBK" w:eastAsia="方正楷体_GBK"/>
          <w:bCs/>
          <w:color w:val="000000"/>
        </w:rPr>
      </w:pPr>
      <w:r>
        <w:rPr>
          <w:rFonts w:ascii="方正楷体_GBK" w:eastAsia="方正楷体_GBK"/>
          <w:bCs/>
          <w:color w:val="000000"/>
        </w:rPr>
        <w:t>（二）一般公共预算财政拨款支出决算结构情况</w:t>
      </w:r>
      <w:bookmarkEnd w:id="39"/>
    </w:p>
    <w:p>
      <w:pPr>
        <w:spacing w:line="600" w:lineRule="exact"/>
        <w:ind w:firstLine="640"/>
        <w:rPr>
          <w:rFonts w:ascii="仿宋" w:hAnsi="仿宋" w:eastAsia="仿宋"/>
          <w:b/>
          <w:color w:val="000000"/>
        </w:rPr>
      </w:pPr>
      <w:r>
        <w:rPr>
          <w:rFonts w:hint="eastAsia" w:ascii="宋体" w:hAnsi="宋体" w:eastAsia="宋体" w:cs="宋体"/>
          <w:color w:val="000000"/>
          <w:sz w:val="28"/>
          <w:szCs w:val="28"/>
          <w:lang w:val="en-US" w:eastAsia="zh-CN"/>
        </w:rPr>
        <w:t>2021年一般公共预算财政拨款支出1523.52万元，主要用于以下方面:210卫生健康（类）支出卫生健康支出万元，占100%。</w:t>
      </w:r>
    </w:p>
    <w:p>
      <w:pPr>
        <w:topLinePunct/>
        <w:spacing w:line="540" w:lineRule="exact"/>
        <w:ind w:firstLine="632" w:firstLineChars="200"/>
        <w:rPr>
          <w:rFonts w:eastAsia="方正仿宋_GBK"/>
          <w:color w:val="000000"/>
          <w:highlight w:val="none"/>
        </w:rPr>
      </w:pPr>
      <w:r>
        <w:rPr>
          <w:rFonts w:eastAsia="方正仿宋_GBK"/>
          <w:color w:val="000000"/>
          <w:highlight w:val="none"/>
        </w:rPr>
        <w:t>（图6：一般公共预算财政拨款支出决算结构）（饼状图）</w:t>
      </w: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p>
    <w:p>
      <w:pPr>
        <w:topLinePunct/>
        <w:spacing w:line="540" w:lineRule="exact"/>
        <w:ind w:firstLine="632" w:firstLineChars="200"/>
        <w:rPr>
          <w:rFonts w:eastAsia="方正仿宋_GBK"/>
          <w:color w:val="000000"/>
        </w:rPr>
      </w:pPr>
    </w:p>
    <w:p>
      <w:pPr>
        <w:topLinePunct/>
        <w:spacing w:line="540" w:lineRule="exact"/>
        <w:ind w:firstLine="632" w:firstLineChars="200"/>
        <w:outlineLvl w:val="2"/>
        <w:rPr>
          <w:rFonts w:ascii="方正楷体_GBK" w:eastAsia="方正楷体_GBK"/>
          <w:bCs/>
          <w:color w:val="000000"/>
        </w:rPr>
      </w:pPr>
      <w:bookmarkStart w:id="40" w:name="_Toc15377212"/>
    </w:p>
    <w:p>
      <w:pPr>
        <w:topLinePunct/>
        <w:spacing w:line="540" w:lineRule="exact"/>
        <w:ind w:firstLine="632" w:firstLineChars="200"/>
        <w:outlineLvl w:val="2"/>
        <w:rPr>
          <w:rFonts w:ascii="方正楷体_GBK" w:eastAsia="方正楷体_GBK"/>
          <w:bCs/>
          <w:color w:val="000000"/>
        </w:rPr>
      </w:pPr>
      <w:r>
        <w:drawing>
          <wp:anchor distT="0" distB="0" distL="114300" distR="114300" simplePos="0" relativeHeight="251661312" behindDoc="1" locked="0" layoutInCell="1" allowOverlap="1">
            <wp:simplePos x="0" y="0"/>
            <wp:positionH relativeFrom="column">
              <wp:posOffset>405765</wp:posOffset>
            </wp:positionH>
            <wp:positionV relativeFrom="paragraph">
              <wp:posOffset>-2883535</wp:posOffset>
            </wp:positionV>
            <wp:extent cx="4515485" cy="2402205"/>
            <wp:effectExtent l="4445" t="5080" r="52070" b="50165"/>
            <wp:wrapTight wrapText="bothSides">
              <wp:wrapPolygon>
                <wp:start x="-21" y="-46"/>
                <wp:lineTo x="-21" y="21537"/>
                <wp:lineTo x="21576" y="21537"/>
                <wp:lineTo x="21576" y="-46"/>
                <wp:lineTo x="-21" y="-46"/>
              </wp:wrapPolygon>
            </wp:wrapTight>
            <wp:docPr id="1174" name="图表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p>
    <w:p>
      <w:pPr>
        <w:topLinePunct/>
        <w:spacing w:line="540" w:lineRule="exact"/>
        <w:ind w:firstLine="632" w:firstLineChars="200"/>
        <w:outlineLvl w:val="2"/>
        <w:rPr>
          <w:rFonts w:ascii="方正楷体_GBK" w:eastAsia="方正楷体_GBK"/>
          <w:bCs/>
          <w:color w:val="000000"/>
        </w:rPr>
      </w:pPr>
    </w:p>
    <w:p>
      <w:pPr>
        <w:topLinePunct/>
        <w:spacing w:line="540" w:lineRule="exact"/>
        <w:ind w:firstLine="632" w:firstLineChars="200"/>
        <w:outlineLvl w:val="2"/>
        <w:rPr>
          <w:rFonts w:ascii="方正楷体_GBK" w:eastAsia="方正楷体_GBK"/>
          <w:bCs/>
          <w:color w:val="000000"/>
        </w:rPr>
      </w:pPr>
      <w:r>
        <w:rPr>
          <w:rFonts w:ascii="方正楷体_GBK" w:eastAsia="方正楷体_GBK"/>
          <w:bCs/>
          <w:color w:val="000000"/>
        </w:rPr>
        <w:t>（三）一般公共预算财政拨款支出决算具体情况</w:t>
      </w:r>
      <w:bookmarkEnd w:id="40"/>
    </w:p>
    <w:p>
      <w:pPr>
        <w:spacing w:line="600" w:lineRule="exact"/>
        <w:ind w:firstLine="640"/>
        <w:rPr>
          <w:rFonts w:hint="eastAsia" w:ascii="宋体" w:hAnsi="宋体" w:eastAsia="宋体" w:cs="宋体"/>
          <w:color w:val="000000"/>
          <w:sz w:val="28"/>
          <w:szCs w:val="28"/>
          <w:lang w:val="en-US" w:eastAsia="zh-CN"/>
        </w:rPr>
      </w:pPr>
      <w:bookmarkStart w:id="41" w:name="_Toc15377213"/>
      <w:bookmarkStart w:id="42" w:name="_Toc15377444"/>
      <w:bookmarkStart w:id="43" w:name="_Toc15378460"/>
      <w:r>
        <w:rPr>
          <w:rFonts w:hint="eastAsia" w:ascii="宋体" w:hAnsi="宋体" w:eastAsia="宋体" w:cs="宋体"/>
          <w:color w:val="000000"/>
          <w:sz w:val="28"/>
          <w:szCs w:val="28"/>
          <w:lang w:val="en-US" w:eastAsia="zh-CN"/>
        </w:rPr>
        <w:t>2021年一般公共预算支出决算数为1523.52万元，完成预算100%。其中：</w:t>
      </w:r>
      <w:bookmarkEnd w:id="41"/>
      <w:bookmarkEnd w:id="42"/>
      <w:bookmarkEnd w:id="43"/>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1.2100199其他卫生健康管理事务支出：支出决算为391.88万元，完成预算100%，与预算数持平。</w:t>
      </w:r>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2.2100207儿童医院：支出决算为772.37万元，完成预算100%，与预算数持平。</w:t>
      </w:r>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3.2100299其他公立医院支出：支出决算为1.73万元，完成预算100%，与预算数持平。</w:t>
      </w:r>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4.2100408基本公共卫生服务：支出决算为16.02万元，完成预算100%，与预算数持平。</w:t>
      </w:r>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5.2100409重大公共卫生服务：支出决算为21.75万元，完成预算100%，与预算数持平。</w:t>
      </w:r>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6.2100410突发公共卫生事件应急处理：支出决算为128.62万元，完成预算100%，与预算数持平。</w:t>
      </w:r>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7.2101103公务员医疗补助：支出决算为13.74万元，完成预算100%，与预算数持平。</w:t>
      </w:r>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8.2109999其他卫生健康支出：支出决算为177.41万元，完成预算100%，与预算数持平。</w:t>
      </w:r>
    </w:p>
    <w:p>
      <w:pPr>
        <w:topLinePunct/>
        <w:spacing w:line="540" w:lineRule="exact"/>
        <w:ind w:firstLine="640"/>
        <w:rPr>
          <w:rFonts w:hint="eastAsia" w:asciiTheme="minorEastAsia" w:hAnsiTheme="minorEastAsia" w:eastAsiaTheme="minorEastAsia" w:cstheme="minorEastAsia"/>
          <w:b/>
          <w:bCs/>
          <w:color w:val="000000"/>
        </w:rPr>
      </w:pPr>
    </w:p>
    <w:p>
      <w:pPr>
        <w:topLinePunct/>
        <w:spacing w:line="540" w:lineRule="exact"/>
        <w:ind w:firstLine="632" w:firstLineChars="200"/>
        <w:outlineLvl w:val="1"/>
        <w:rPr>
          <w:rFonts w:ascii="方正黑体_GBK" w:eastAsia="方正黑体_GBK"/>
          <w:color w:val="000000"/>
        </w:rPr>
      </w:pPr>
      <w:bookmarkStart w:id="44" w:name="_Toc15377214"/>
      <w:bookmarkStart w:id="45" w:name="_Toc108529861"/>
      <w:r>
        <w:rPr>
          <w:rFonts w:hint="eastAsia" w:ascii="方正黑体_GBK" w:eastAsia="方正黑体_GBK"/>
          <w:color w:val="000000"/>
        </w:rPr>
        <w:t>六、一般公共预算财政拨款基本支出决算情况说明</w:t>
      </w:r>
      <w:bookmarkEnd w:id="44"/>
      <w:bookmarkEnd w:id="45"/>
      <w:r>
        <w:rPr>
          <w:rFonts w:hint="eastAsia" w:ascii="方正黑体_GBK" w:eastAsia="方正黑体_GBK"/>
          <w:color w:val="000000"/>
        </w:rPr>
        <w:tab/>
      </w:r>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2021年一般公共预算财政拨款基本支出786.11万元，其中：</w:t>
      </w:r>
    </w:p>
    <w:p>
      <w:pPr>
        <w:spacing w:line="600" w:lineRule="exact"/>
        <w:ind w:firstLine="640"/>
        <w:rPr>
          <w:rFonts w:hint="eastAsia" w:asciiTheme="minorEastAsia" w:hAnsiTheme="minorEastAsia" w:eastAsiaTheme="minorEastAsia" w:cstheme="minorEastAsia"/>
          <w:color w:val="000000"/>
          <w:lang w:eastAsia="zh-CN"/>
        </w:rPr>
      </w:pPr>
      <w:r>
        <w:rPr>
          <w:rFonts w:hint="eastAsia" w:ascii="宋体" w:hAnsi="宋体" w:eastAsia="宋体" w:cs="宋体"/>
          <w:color w:val="000000"/>
          <w:sz w:val="28"/>
          <w:szCs w:val="28"/>
          <w:lang w:val="en-US" w:eastAsia="zh-CN"/>
        </w:rPr>
        <w:t>人员经费786.11万元，主要包括：基本工资772.37万元、公务员医疗补助缴费13.74万元。</w:t>
      </w:r>
    </w:p>
    <w:p>
      <w:pPr>
        <w:numPr>
          <w:ilvl w:val="0"/>
          <w:numId w:val="1"/>
        </w:numPr>
        <w:topLinePunct/>
        <w:spacing w:line="540" w:lineRule="exact"/>
        <w:ind w:firstLine="632" w:firstLineChars="200"/>
        <w:outlineLvl w:val="1"/>
        <w:rPr>
          <w:rFonts w:hint="eastAsia" w:ascii="方正黑体_GBK" w:eastAsia="方正黑体_GBK"/>
          <w:color w:val="000000"/>
          <w:lang w:eastAsia="zh-CN"/>
        </w:rPr>
      </w:pPr>
      <w:bookmarkStart w:id="46" w:name="_Toc15377215"/>
      <w:bookmarkStart w:id="47" w:name="_Toc108529862"/>
      <w:r>
        <w:rPr>
          <w:rFonts w:hint="eastAsia" w:ascii="方正黑体_GBK" w:eastAsia="方正黑体_GBK"/>
          <w:color w:val="000000"/>
        </w:rPr>
        <w:t>“三公”经费财政拨款支出决算情况说明</w:t>
      </w:r>
      <w:bookmarkEnd w:id="46"/>
      <w:bookmarkEnd w:id="47"/>
    </w:p>
    <w:p>
      <w:pPr>
        <w:topLinePunct/>
        <w:spacing w:line="540" w:lineRule="exact"/>
        <w:ind w:firstLine="640"/>
        <w:outlineLvl w:val="2"/>
        <w:rPr>
          <w:rFonts w:ascii="方正楷体_GBK" w:eastAsia="方正楷体_GBK"/>
          <w:bCs/>
          <w:color w:val="000000"/>
        </w:rPr>
      </w:pPr>
      <w:bookmarkStart w:id="48" w:name="_Toc15377216"/>
      <w:r>
        <w:rPr>
          <w:rFonts w:hint="eastAsia" w:ascii="方正楷体_GBK" w:eastAsia="方正楷体_GBK"/>
          <w:bCs/>
          <w:color w:val="000000"/>
        </w:rPr>
        <w:t>（一）</w:t>
      </w:r>
      <w:r>
        <w:rPr>
          <w:rFonts w:ascii="方正楷体_GBK" w:eastAsia="方正楷体_GBK"/>
          <w:bCs/>
          <w:color w:val="000000"/>
        </w:rPr>
        <w:t>“三公”</w:t>
      </w:r>
      <w:r>
        <w:rPr>
          <w:rFonts w:hint="eastAsia" w:ascii="方正楷体_GBK" w:eastAsia="方正楷体_GBK"/>
          <w:bCs/>
          <w:color w:val="000000"/>
        </w:rPr>
        <w:t>经费财政拨款支出决算总体情况说明</w:t>
      </w:r>
      <w:bookmarkEnd w:id="48"/>
    </w:p>
    <w:p>
      <w:pPr>
        <w:topLinePunct/>
        <w:spacing w:line="540" w:lineRule="exact"/>
        <w:ind w:firstLine="645"/>
        <w:rPr>
          <w:rFonts w:hint="eastAsia" w:asciiTheme="minorEastAsia" w:hAnsiTheme="minorEastAsia" w:eastAsiaTheme="minorEastAsia" w:cstheme="minorEastAsia"/>
          <w:color w:val="000000"/>
          <w:lang w:eastAsia="zh-CN"/>
        </w:rPr>
      </w:pPr>
      <w:bookmarkStart w:id="49" w:name="_Toc15377217"/>
      <w:r>
        <w:rPr>
          <w:rFonts w:hint="eastAsia" w:ascii="宋体" w:hAnsi="宋体" w:eastAsia="宋体" w:cs="宋体"/>
          <w:color w:val="000000"/>
          <w:sz w:val="28"/>
          <w:szCs w:val="28"/>
          <w:lang w:val="en-US" w:eastAsia="zh-CN"/>
        </w:rPr>
        <w:t>我院2021年无三公经费财政拨款支出，与上年持平</w:t>
      </w:r>
      <w:r>
        <w:rPr>
          <w:rFonts w:hint="eastAsia" w:asciiTheme="minorEastAsia" w:hAnsiTheme="minorEastAsia" w:eastAsiaTheme="minorEastAsia" w:cstheme="minorEastAsia"/>
          <w:color w:val="000000"/>
          <w:lang w:eastAsia="zh-CN"/>
        </w:rPr>
        <w:t>。</w:t>
      </w:r>
    </w:p>
    <w:p>
      <w:pPr>
        <w:topLinePunct/>
        <w:spacing w:line="540" w:lineRule="exact"/>
        <w:ind w:firstLine="640"/>
        <w:outlineLvl w:val="2"/>
        <w:rPr>
          <w:rFonts w:ascii="方正楷体_GBK" w:eastAsia="方正楷体_GBK"/>
          <w:bCs/>
          <w:color w:val="000000"/>
        </w:rPr>
      </w:pPr>
      <w:r>
        <w:rPr>
          <w:rFonts w:ascii="方正楷体_GBK" w:eastAsia="方正楷体_GBK"/>
          <w:bCs/>
          <w:color w:val="000000"/>
        </w:rPr>
        <w:t>（二）“三公”经费财政拨款支出决算具体情况说明</w:t>
      </w:r>
      <w:bookmarkEnd w:id="49"/>
    </w:p>
    <w:p>
      <w:pPr>
        <w:topLinePunct/>
        <w:spacing w:line="540" w:lineRule="exact"/>
        <w:ind w:firstLine="645"/>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我院2021年无三公经费财政拨款支出，与上年持平。</w:t>
      </w:r>
      <w:bookmarkStart w:id="79" w:name="_GoBack"/>
      <w:bookmarkEnd w:id="79"/>
    </w:p>
    <w:p>
      <w:pPr>
        <w:topLinePunct/>
        <w:spacing w:line="540" w:lineRule="exact"/>
        <w:ind w:firstLine="645"/>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1、2021年本单位无因公出国（境）经费支出 </w:t>
      </w:r>
    </w:p>
    <w:p>
      <w:pPr>
        <w:topLinePunct/>
        <w:spacing w:line="540" w:lineRule="exact"/>
        <w:ind w:firstLine="645"/>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2、2021年本单位无公务用车购置及运行维护费支出</w:t>
      </w:r>
    </w:p>
    <w:p>
      <w:pPr>
        <w:topLinePunct/>
        <w:spacing w:line="540" w:lineRule="exact"/>
        <w:ind w:firstLine="645"/>
        <w:rPr>
          <w:rFonts w:hint="eastAsia" w:ascii="方正黑体_GBK" w:eastAsia="方正黑体_GBK"/>
          <w:color w:val="000000"/>
        </w:rPr>
      </w:pPr>
      <w:r>
        <w:rPr>
          <w:rFonts w:hint="eastAsia" w:ascii="宋体" w:hAnsi="宋体" w:eastAsia="宋体" w:cs="宋体"/>
          <w:color w:val="000000"/>
          <w:sz w:val="28"/>
          <w:szCs w:val="28"/>
          <w:lang w:val="en-US" w:eastAsia="zh-CN"/>
        </w:rPr>
        <w:t>3、2021年本单位无公务接待费支出</w:t>
      </w:r>
      <w:bookmarkStart w:id="50" w:name="_Toc108529863"/>
      <w:bookmarkStart w:id="51" w:name="_Toc15377218"/>
    </w:p>
    <w:p>
      <w:pPr>
        <w:topLinePunct/>
        <w:spacing w:line="540" w:lineRule="exact"/>
        <w:ind w:firstLine="640"/>
        <w:outlineLvl w:val="1"/>
        <w:rPr>
          <w:rStyle w:val="28"/>
          <w:rFonts w:ascii="方正黑体_GBK" w:hAnsi="Times New Roman" w:eastAsia="方正黑体_GBK" w:cs="Times New Roman"/>
        </w:rPr>
      </w:pPr>
      <w:r>
        <w:rPr>
          <w:rFonts w:hint="eastAsia" w:ascii="方正黑体_GBK" w:eastAsia="方正黑体_GBK"/>
          <w:color w:val="000000"/>
        </w:rPr>
        <w:t>八、</w:t>
      </w:r>
      <w:r>
        <w:rPr>
          <w:rStyle w:val="28"/>
          <w:rFonts w:hint="eastAsia" w:ascii="方正黑体_GBK" w:hAnsi="Times New Roman" w:eastAsia="方正黑体_GBK" w:cs="Times New Roman"/>
          <w:b w:val="0"/>
          <w:bCs w:val="0"/>
        </w:rPr>
        <w:t>政府性基金预算支出决算情况说明</w:t>
      </w:r>
      <w:bookmarkEnd w:id="50"/>
      <w:bookmarkEnd w:id="51"/>
    </w:p>
    <w:p>
      <w:pPr>
        <w:topLinePunct/>
        <w:spacing w:line="540" w:lineRule="exact"/>
        <w:ind w:firstLine="645"/>
        <w:rPr>
          <w:rFonts w:hint="eastAsia" w:asciiTheme="minorEastAsia" w:hAnsiTheme="minorEastAsia" w:eastAsiaTheme="minorEastAsia" w:cstheme="minorEastAsia"/>
          <w:color w:val="000000"/>
        </w:rPr>
      </w:pPr>
      <w:r>
        <w:rPr>
          <w:rFonts w:hint="eastAsia" w:ascii="宋体" w:hAnsi="宋体" w:eastAsia="宋体" w:cs="宋体"/>
          <w:color w:val="000000"/>
          <w:sz w:val="28"/>
          <w:szCs w:val="28"/>
          <w:lang w:val="en-US" w:eastAsia="zh-CN"/>
        </w:rPr>
        <w:t>2021年本单位无政府性基金预算财政拨款支出</w:t>
      </w:r>
    </w:p>
    <w:p>
      <w:pPr>
        <w:topLinePunct/>
        <w:spacing w:line="540" w:lineRule="exact"/>
        <w:ind w:firstLine="640"/>
        <w:outlineLvl w:val="1"/>
        <w:rPr>
          <w:rFonts w:ascii="方正黑体_GBK" w:eastAsia="方正黑体_GBK"/>
          <w:color w:val="000000"/>
        </w:rPr>
      </w:pPr>
      <w:bookmarkStart w:id="52" w:name="_Toc15377219"/>
      <w:bookmarkStart w:id="53" w:name="_Toc108529864"/>
      <w:r>
        <w:rPr>
          <w:rFonts w:hint="eastAsia" w:ascii="方正黑体_GBK" w:eastAsia="方正黑体_GBK"/>
          <w:color w:val="000000"/>
        </w:rPr>
        <w:t>九、</w:t>
      </w:r>
      <w:r>
        <w:rPr>
          <w:rFonts w:ascii="方正黑体_GBK" w:eastAsia="方正黑体_GBK"/>
          <w:color w:val="000000"/>
        </w:rPr>
        <w:t>国有资本经营预算支出决算情况说明</w:t>
      </w:r>
      <w:bookmarkEnd w:id="52"/>
      <w:bookmarkEnd w:id="53"/>
    </w:p>
    <w:p>
      <w:pPr>
        <w:topLinePunct/>
        <w:spacing w:line="540" w:lineRule="exact"/>
        <w:ind w:firstLine="645"/>
        <w:rPr>
          <w:rFonts w:eastAsia="方正仿宋_GBK"/>
          <w:color w:val="000000"/>
        </w:rPr>
      </w:pPr>
      <w:r>
        <w:rPr>
          <w:rFonts w:hint="eastAsia" w:ascii="宋体" w:hAnsi="宋体" w:eastAsia="宋体" w:cs="宋体"/>
          <w:color w:val="000000"/>
          <w:sz w:val="28"/>
          <w:szCs w:val="28"/>
          <w:lang w:val="en-US" w:eastAsia="zh-CN"/>
        </w:rPr>
        <w:t>2021年本单位无国有资本经营预算财政拨款支出</w:t>
      </w:r>
    </w:p>
    <w:p>
      <w:pPr>
        <w:topLinePunct/>
        <w:spacing w:line="540" w:lineRule="exact"/>
        <w:ind w:firstLine="640"/>
        <w:outlineLvl w:val="1"/>
        <w:rPr>
          <w:rFonts w:ascii="方正黑体_GBK" w:eastAsia="方正黑体_GBK"/>
          <w:color w:val="000000"/>
        </w:rPr>
      </w:pPr>
      <w:bookmarkStart w:id="54" w:name="_Toc50044890"/>
      <w:bookmarkStart w:id="55" w:name="_Toc108529865"/>
      <w:r>
        <w:rPr>
          <w:rFonts w:hint="eastAsia" w:ascii="方正黑体_GBK" w:eastAsia="方正黑体_GBK"/>
          <w:color w:val="000000"/>
        </w:rPr>
        <w:t>十、预算绩效管理情况说明</w:t>
      </w:r>
      <w:bookmarkEnd w:id="54"/>
      <w:bookmarkEnd w:id="55"/>
    </w:p>
    <w:p>
      <w:pPr>
        <w:topLinePunct/>
        <w:spacing w:line="540" w:lineRule="exact"/>
        <w:ind w:firstLine="632" w:firstLineChars="200"/>
        <w:outlineLvl w:val="2"/>
        <w:rPr>
          <w:rFonts w:ascii="方正楷体_GBK" w:eastAsia="方正楷体_GBK"/>
          <w:bCs/>
          <w:color w:val="000000"/>
        </w:rPr>
      </w:pPr>
      <w:r>
        <w:rPr>
          <w:rFonts w:hint="eastAsia" w:ascii="方正楷体_GBK" w:eastAsia="方正楷体_GBK"/>
          <w:bCs/>
          <w:color w:val="000000"/>
        </w:rPr>
        <w:t>（一）预算绩效管理工作开展情况</w:t>
      </w:r>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根据预算绩效管理要求，本单位在年初预算编制阶段，组织对县级公立医院人员经费和公务员医疗门诊补助专项项目开展了预算事前绩效评估，对2个专项项目编制了绩效目标；预算执行过程中，选取7个专项项目开展绩效监控；年终执行完毕后，对 8个专项项目开展了绩效自评。</w:t>
      </w:r>
    </w:p>
    <w:p>
      <w:pPr>
        <w:topLinePunct/>
        <w:spacing w:line="540" w:lineRule="exact"/>
        <w:ind w:firstLine="632" w:firstLineChars="200"/>
        <w:outlineLvl w:val="2"/>
        <w:rPr>
          <w:rFonts w:ascii="方正楷体_GBK" w:eastAsia="方正楷体_GBK"/>
          <w:bCs/>
          <w:color w:val="000000"/>
        </w:rPr>
      </w:pPr>
      <w:r>
        <w:rPr>
          <w:rFonts w:ascii="方正楷体_GBK" w:eastAsia="方正楷体_GBK"/>
          <w:bCs/>
          <w:color w:val="000000"/>
        </w:rPr>
        <w:t>（二）绩效自评</w:t>
      </w:r>
      <w:r>
        <w:rPr>
          <w:rFonts w:hint="eastAsia" w:ascii="方正楷体_GBK" w:eastAsia="方正楷体_GBK"/>
          <w:bCs/>
          <w:color w:val="000000"/>
        </w:rPr>
        <w:t>结果</w:t>
      </w:r>
    </w:p>
    <w:p>
      <w:pPr>
        <w:topLinePunct/>
        <w:spacing w:line="540" w:lineRule="exact"/>
        <w:ind w:firstLine="632" w:firstLineChars="200"/>
        <w:outlineLvl w:val="2"/>
        <w:rPr>
          <w:rFonts w:eastAsia="方正仿宋_GBK"/>
          <w:color w:val="000000"/>
        </w:rPr>
      </w:pPr>
      <w:r>
        <w:rPr>
          <w:rFonts w:hint="eastAsia" w:eastAsia="方正仿宋_GBK"/>
          <w:color w:val="000000"/>
        </w:rPr>
        <w:t>1.</w:t>
      </w:r>
      <w:r>
        <w:rPr>
          <w:rFonts w:eastAsia="方正仿宋_GBK"/>
          <w:color w:val="000000"/>
        </w:rPr>
        <w:t>专项</w:t>
      </w:r>
      <w:r>
        <w:rPr>
          <w:rFonts w:hint="eastAsia" w:eastAsia="方正仿宋_GBK"/>
          <w:color w:val="000000"/>
        </w:rPr>
        <w:t>类</w:t>
      </w:r>
      <w:r>
        <w:rPr>
          <w:rFonts w:eastAsia="方正仿宋_GBK"/>
          <w:color w:val="000000"/>
        </w:rPr>
        <w:t>项目绩效自评情况</w:t>
      </w:r>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本单位在2021年度部门决算中反映“县级公立医院取消药品加成补助”、“新型冠状病毒感染的肺炎疫情防控应急专项资金-核酸检测”、“医疗机构儿科门（急）诊专项补助”、“新冠疫情防控经费-定点隔离酒店”、“基层党建工作经费”、“新冠疫情防控经费-发热门诊（诊室）”、“突发公共卫生事件应急处理及医疗保障专项”、“区属公立医疗机构退休人员2020年度一次性生活补助”等8个专项类项目绩效自评情况。</w:t>
      </w:r>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1）“县级公立医院取消药品加成补助”项目完成情况综述。项目全年预算数7.69万元，执行数为7.69万元，完成预算的100%。通过项目实施，一定程度上缓解了人民群众“看病贵”情况，同时也规范了医生的医疗行为。</w:t>
      </w:r>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“县级公立医院取消药品加成补助”项目绩效自评表（附件1-1）</w:t>
      </w:r>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新型冠状病毒感染的肺炎疫情防控应急专项资金-核酸检测”项目完成情况综述。项目全年预算数20.94万元，执行数为20.94万元，完成预算的100%。通过项目实施，我院建设了核酸实验室，提高了我院核酸检测能力和速度，提高了我院新型冠状病毒肺炎疫情的防控能力。</w:t>
      </w:r>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“新型冠状病毒肺炎疫情防控应急专项资金”项目绩效自评表（附件1-2）</w:t>
      </w:r>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3）“医疗机构儿科门（急）诊专项补助”项目完成情况综述。项目全年预算数124.95万元，执行数为124.95万元，完成预算的100%。通过项目实施，维修维护了我院环境，推进了儿童医疗卫生服务领域改革与创新，加强了儿科队伍建设与培养，完善了儿童医疗服务体系。</w:t>
      </w:r>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“医疗机构儿科门（急）诊专项补助”项目绩效自评表（附件1-3）</w:t>
      </w:r>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4）“新冠疫情防控经费-发热门诊（诊室）”项目完成情况综述。项目全年预算数51.91万元，执行数为51.91万元，完成预算的100%。通过项目实施，我院做好了发热门诊建设工作，为发热病人了提供看病场所，减少了发热病人与普通病人的接触，提高了新型冠状病毒肺炎疫情防控能力。</w:t>
      </w:r>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“新冠疫情防控经费-发热门诊（诊室）”项目绩效自评表（附件1-4）</w:t>
      </w:r>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5）“突发公共卫生事件应急处理及医疗保障专项”项目完成情况综述。项目全年预算数1.03万元，执行数为1.03万元，完成预算的100%。通过项目实施，加强了卫生应急队伍的能力建设，及时处置了突发公共卫生应急事件，确保了青羊区社会稳定和人民群众的健康安全。</w:t>
      </w:r>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“突发公共卫生事件应急处理及医疗保障专项”项目绩效自评表（附件1-5）</w:t>
      </w:r>
    </w:p>
    <w:p>
      <w:pPr>
        <w:topLinePunct/>
        <w:ind w:firstLine="632" w:firstLineChars="200"/>
        <w:jc w:val="left"/>
        <w:rPr>
          <w:rFonts w:eastAsia="方正仿宋_GBK"/>
          <w:color w:val="000000"/>
        </w:rPr>
      </w:pPr>
      <w:r>
        <w:rPr>
          <w:rFonts w:hint="eastAsia" w:eastAsia="方正仿宋_GBK"/>
          <w:color w:val="000000"/>
        </w:rPr>
        <w:t>2.部门整体绩效自评情况</w:t>
      </w:r>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本单位按要求对2021年部门整体支出开展绩效自评，《2021年度市级部门（单位）整体支出绩效自评表》见附件（附件2）。</w:t>
      </w:r>
    </w:p>
    <w:p>
      <w:pPr>
        <w:topLinePunct/>
        <w:ind w:firstLine="632" w:firstLineChars="200"/>
        <w:outlineLvl w:val="1"/>
        <w:rPr>
          <w:rStyle w:val="28"/>
          <w:rFonts w:ascii="方正黑体_GBK" w:hAnsi="Times New Roman" w:eastAsia="方正黑体_GBK" w:cs="Times New Roman"/>
        </w:rPr>
      </w:pPr>
      <w:bookmarkStart w:id="56" w:name="_Toc15377221"/>
      <w:bookmarkStart w:id="57" w:name="_Toc108529866"/>
      <w:r>
        <w:rPr>
          <w:rFonts w:hint="eastAsia" w:ascii="方正黑体_GBK" w:eastAsia="方正黑体_GBK"/>
          <w:color w:val="000000"/>
        </w:rPr>
        <w:t>十一</w:t>
      </w:r>
      <w:r>
        <w:rPr>
          <w:rStyle w:val="28"/>
          <w:rFonts w:hint="eastAsia" w:ascii="方正黑体_GBK" w:hAnsi="Times New Roman" w:eastAsia="方正黑体_GBK" w:cs="Times New Roman"/>
        </w:rPr>
        <w:t>、</w:t>
      </w:r>
      <w:r>
        <w:rPr>
          <w:rStyle w:val="28"/>
          <w:rFonts w:hint="eastAsia" w:ascii="方正黑体_GBK" w:hAnsi="Times New Roman" w:eastAsia="方正黑体_GBK" w:cs="Times New Roman"/>
          <w:b w:val="0"/>
          <w:bCs w:val="0"/>
        </w:rPr>
        <w:t>其他重要事项的情况说明</w:t>
      </w:r>
      <w:bookmarkEnd w:id="56"/>
      <w:bookmarkEnd w:id="57"/>
    </w:p>
    <w:p>
      <w:pPr>
        <w:topLinePunct/>
        <w:ind w:firstLine="632" w:firstLineChars="200"/>
        <w:outlineLvl w:val="2"/>
        <w:rPr>
          <w:rFonts w:ascii="方正楷体_GBK" w:eastAsia="方正楷体_GBK"/>
          <w:bCs/>
          <w:color w:val="000000"/>
        </w:rPr>
      </w:pPr>
      <w:bookmarkStart w:id="58" w:name="_Toc15377222"/>
      <w:r>
        <w:rPr>
          <w:rFonts w:ascii="方正楷体_GBK" w:eastAsia="方正楷体_GBK"/>
          <w:bCs/>
          <w:color w:val="000000"/>
        </w:rPr>
        <w:t>（一）机关运行经费支出情况</w:t>
      </w:r>
      <w:bookmarkEnd w:id="58"/>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2021年，成都儿童专科医院运行经费支出0万元，与2020年决算数持平。</w:t>
      </w:r>
    </w:p>
    <w:p>
      <w:pPr>
        <w:topLinePunct/>
        <w:ind w:firstLine="632" w:firstLineChars="200"/>
        <w:outlineLvl w:val="2"/>
        <w:rPr>
          <w:rFonts w:ascii="方正楷体_GBK" w:eastAsia="方正楷体_GBK"/>
          <w:bCs/>
          <w:color w:val="000000"/>
        </w:rPr>
      </w:pPr>
      <w:bookmarkStart w:id="59" w:name="_Toc15377223"/>
      <w:r>
        <w:rPr>
          <w:rFonts w:ascii="方正楷体_GBK" w:eastAsia="方正楷体_GBK"/>
          <w:bCs/>
          <w:color w:val="000000"/>
        </w:rPr>
        <w:t>（二）政府采购支出情况</w:t>
      </w:r>
      <w:bookmarkEnd w:id="59"/>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2021年，成都儿童专科医院政府采购支出总额296.95万元，其中：政府采购货物支出17.98万元、政府采购工程支出0万元、政府采购服务支出278.97万元。主要用于物业管理费。授予中小企业合同金额278.97万元，占政府采购支出总额的94%，其中：授予小微企业合同金额278.97万元，占政府采购支出总额的94%。</w:t>
      </w:r>
    </w:p>
    <w:p>
      <w:pPr>
        <w:topLinePunct/>
        <w:ind w:firstLine="632" w:firstLineChars="200"/>
        <w:outlineLvl w:val="2"/>
        <w:rPr>
          <w:rFonts w:ascii="方正楷体_GBK" w:eastAsia="方正楷体_GBK"/>
          <w:bCs/>
          <w:color w:val="000000"/>
        </w:rPr>
      </w:pPr>
      <w:bookmarkStart w:id="60" w:name="_Toc15377224"/>
      <w:r>
        <w:rPr>
          <w:rFonts w:ascii="方正楷体_GBK" w:eastAsia="方正楷体_GBK"/>
          <w:bCs/>
          <w:color w:val="000000"/>
        </w:rPr>
        <w:t>（三）国有资产占有使用情况</w:t>
      </w:r>
      <w:bookmarkEnd w:id="60"/>
    </w:p>
    <w:p>
      <w:pPr>
        <w:spacing w:line="600" w:lineRule="exact"/>
        <w:ind w:firstLine="640"/>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截至2021年12月31日，成都儿童专科医院共有车辆5辆，其中：应急保障用车3辆、特种专业技术用车2辆。单价50万元以上通用设备0台（套），单价100万元以上专用设备4台（套）。</w:t>
      </w:r>
    </w:p>
    <w:p>
      <w:pPr>
        <w:topLinePunct/>
        <w:spacing w:line="540" w:lineRule="exact"/>
        <w:ind w:firstLine="645"/>
        <w:rPr>
          <w:rFonts w:hint="eastAsia" w:asciiTheme="minorEastAsia" w:hAnsiTheme="minorEastAsia" w:eastAsiaTheme="minorEastAsia" w:cstheme="minorEastAsia"/>
          <w:color w:val="000000"/>
          <w:lang w:val="en-US" w:eastAsia="zh-CN"/>
        </w:rPr>
      </w:pPr>
    </w:p>
    <w:p>
      <w:pPr>
        <w:pStyle w:val="2"/>
        <w:keepNext w:val="0"/>
        <w:keepLines w:val="0"/>
        <w:topLinePunct/>
        <w:spacing w:before="0" w:after="0" w:line="240" w:lineRule="auto"/>
        <w:jc w:val="center"/>
        <w:rPr>
          <w:rFonts w:eastAsia="方正黑体_GBK"/>
          <w:b w:val="0"/>
          <w:sz w:val="32"/>
          <w:szCs w:val="32"/>
        </w:rPr>
      </w:pPr>
      <w:bookmarkStart w:id="61" w:name="_Toc15377225"/>
      <w:r>
        <w:rPr>
          <w:rFonts w:eastAsia="方正黑体_GBK"/>
          <w:b w:val="0"/>
          <w:bCs w:val="0"/>
          <w:sz w:val="32"/>
          <w:szCs w:val="32"/>
        </w:rPr>
        <w:br w:type="page"/>
      </w:r>
      <w:bookmarkStart w:id="62" w:name="_Toc108529867"/>
      <w:r>
        <w:rPr>
          <w:rFonts w:hint="eastAsia" w:eastAsia="方正黑体_GBK"/>
          <w:b w:val="0"/>
          <w:bCs w:val="0"/>
          <w:sz w:val="32"/>
          <w:szCs w:val="32"/>
        </w:rPr>
        <w:t xml:space="preserve">第三部分 </w:t>
      </w:r>
      <w:r>
        <w:rPr>
          <w:rFonts w:eastAsia="方正黑体_GBK"/>
          <w:b w:val="0"/>
          <w:bCs w:val="0"/>
          <w:sz w:val="32"/>
          <w:szCs w:val="32"/>
        </w:rPr>
        <w:t>名</w:t>
      </w:r>
      <w:r>
        <w:rPr>
          <w:rFonts w:eastAsia="方正黑体_GBK"/>
          <w:b w:val="0"/>
          <w:sz w:val="32"/>
          <w:szCs w:val="32"/>
        </w:rPr>
        <w:t>词解释</w:t>
      </w:r>
      <w:bookmarkEnd w:id="61"/>
      <w:bookmarkEnd w:id="62"/>
    </w:p>
    <w:p>
      <w:pPr>
        <w:topLinePunct/>
        <w:jc w:val="left"/>
        <w:rPr>
          <w:rFonts w:eastAsia="方正仿宋_GBK"/>
          <w:b/>
          <w:bCs/>
          <w:color w:val="000000"/>
        </w:rPr>
      </w:pP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1.财政拨款收入：指单位从同级财政部门取得的财政预算资金。</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ascii="Times New Roman" w:hAnsi="Times New Roman" w:eastAsia="方正仿宋_GBK" w:cs="Times New Roman"/>
          <w:sz w:val="32"/>
          <w:szCs w:val="32"/>
        </w:rPr>
        <w:t>2.事业收入：指事业单位开展专业业务活动及辅助活动取得的收入。如…（二级预算单位事业收入情况）等。</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3</w:t>
      </w:r>
      <w:r>
        <w:rPr>
          <w:rFonts w:ascii="Times New Roman" w:hAnsi="Times New Roman" w:eastAsia="方正仿宋_GBK" w:cs="Times New Roman"/>
          <w:sz w:val="32"/>
          <w:szCs w:val="32"/>
        </w:rPr>
        <w:t>.其他收入：指单位取得的除上述收入以外的各项收入。主要是…（收入类型）等。</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4</w:t>
      </w:r>
      <w:r>
        <w:rPr>
          <w:rFonts w:hint="eastAsia" w:ascii="Times New Roman" w:hAnsi="Times New Roman" w:eastAsia="方正仿宋_GBK" w:cs="Times New Roman"/>
          <w:sz w:val="32"/>
          <w:szCs w:val="32"/>
        </w:rPr>
        <w:t>.使用非财政拨款结余：指事业单位使用以前年度积累的非财政拨款结余弥补当年收支差额的金额。</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5</w:t>
      </w:r>
      <w:r>
        <w:rPr>
          <w:rFonts w:ascii="Times New Roman" w:hAnsi="Times New Roman" w:eastAsia="方正仿宋_GBK" w:cs="Times New Roman"/>
          <w:sz w:val="32"/>
          <w:szCs w:val="32"/>
        </w:rPr>
        <w:t>.年初结转和结余：指以前年度尚未完成、结转到本年按有关规定继续使用的资金。</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6</w:t>
      </w:r>
      <w:r>
        <w:rPr>
          <w:rFonts w:hint="eastAsia" w:ascii="Times New Roman" w:hAnsi="Times New Roman" w:eastAsia="方正仿宋_GBK" w:cs="Times New Roman"/>
          <w:sz w:val="32"/>
          <w:szCs w:val="32"/>
        </w:rPr>
        <w:t>.结余分配：指事业单位按照会计制度规定缴纳的所得税、提取的专用结余以及转入非财政拨款结余的金额等。</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7</w:t>
      </w:r>
      <w:r>
        <w:rPr>
          <w:rFonts w:ascii="Times New Roman" w:hAnsi="Times New Roman" w:eastAsia="方正仿宋_GBK" w:cs="Times New Roman"/>
          <w:sz w:val="32"/>
          <w:szCs w:val="32"/>
        </w:rPr>
        <w:t>、年末结转和结余：指单位按有关规定结转到下年或以后年度继续使用的资金。</w:t>
      </w:r>
    </w:p>
    <w:p>
      <w:pPr>
        <w:topLinePunct/>
        <w:spacing w:line="540" w:lineRule="exact"/>
        <w:ind w:firstLine="632" w:firstLineChars="200"/>
        <w:rPr>
          <w:rFonts w:eastAsia="方正仿宋_GBK"/>
          <w:color w:val="000000"/>
        </w:rPr>
      </w:pPr>
      <w:r>
        <w:rPr>
          <w:rFonts w:hint="eastAsia" w:eastAsia="方正仿宋_GBK"/>
          <w:color w:val="000000"/>
          <w:lang w:val="en-US" w:eastAsia="zh-CN"/>
        </w:rPr>
        <w:t>8</w:t>
      </w:r>
      <w:r>
        <w:rPr>
          <w:rFonts w:eastAsia="方正仿宋_GBK"/>
          <w:color w:val="000000"/>
        </w:rPr>
        <w:t>.社会保障和就业（类）…（款）…（项）：指……。</w:t>
      </w:r>
    </w:p>
    <w:p>
      <w:pPr>
        <w:topLinePunct/>
        <w:spacing w:line="540" w:lineRule="exact"/>
        <w:ind w:firstLine="632" w:firstLineChars="200"/>
        <w:rPr>
          <w:rFonts w:eastAsia="方正仿宋_GBK"/>
          <w:color w:val="000000"/>
        </w:rPr>
      </w:pPr>
      <w:r>
        <w:rPr>
          <w:rFonts w:hint="eastAsia" w:eastAsia="方正仿宋_GBK"/>
          <w:color w:val="000000"/>
          <w:lang w:val="en-US" w:eastAsia="zh-CN"/>
        </w:rPr>
        <w:t>9</w:t>
      </w:r>
      <w:r>
        <w:rPr>
          <w:rFonts w:eastAsia="方正仿宋_GBK"/>
          <w:color w:val="000000"/>
        </w:rPr>
        <w:t>.医疗卫生与计划生育（类）…（款）…（项）：指……。</w:t>
      </w:r>
    </w:p>
    <w:p>
      <w:pPr>
        <w:topLinePunct/>
        <w:spacing w:line="540" w:lineRule="exact"/>
        <w:ind w:firstLine="632" w:firstLineChars="200"/>
        <w:rPr>
          <w:rFonts w:eastAsia="方正仿宋_GBK"/>
          <w:color w:val="000000"/>
        </w:rPr>
      </w:pPr>
      <w:r>
        <w:rPr>
          <w:rFonts w:hint="eastAsia" w:eastAsia="方正仿宋_GBK"/>
          <w:color w:val="000000"/>
          <w:lang w:val="en-US" w:eastAsia="zh-CN"/>
        </w:rPr>
        <w:t>10</w:t>
      </w:r>
      <w:r>
        <w:rPr>
          <w:rFonts w:eastAsia="方正仿宋_GBK"/>
          <w:color w:val="000000"/>
        </w:rPr>
        <w:t>.住房保障（类）…（款）…（项）：指……。</w:t>
      </w:r>
    </w:p>
    <w:p>
      <w:pPr>
        <w:topLinePunct/>
        <w:spacing w:line="540" w:lineRule="exact"/>
        <w:ind w:firstLine="632" w:firstLineChars="200"/>
        <w:rPr>
          <w:rFonts w:eastAsia="方正仿宋_GBK"/>
          <w:color w:val="000000"/>
        </w:rPr>
      </w:pPr>
      <w:r>
        <w:rPr>
          <w:rFonts w:hint="eastAsia" w:eastAsia="方正仿宋_GBK"/>
          <w:color w:val="000000"/>
          <w:lang w:val="en-US" w:eastAsia="zh-CN"/>
        </w:rPr>
        <w:t>11</w:t>
      </w:r>
      <w:r>
        <w:rPr>
          <w:rFonts w:eastAsia="方正仿宋_GBK"/>
          <w:color w:val="000000"/>
        </w:rPr>
        <w:t>.基本支出：指为保障机构正常运转、完成日常工作任务而发生的人员支出和公用支出。</w:t>
      </w:r>
    </w:p>
    <w:p>
      <w:pPr>
        <w:topLinePunct/>
        <w:spacing w:line="540" w:lineRule="exact"/>
        <w:ind w:firstLine="632" w:firstLineChars="200"/>
        <w:rPr>
          <w:rFonts w:eastAsia="方正仿宋_GBK"/>
          <w:color w:val="000000"/>
        </w:rPr>
      </w:pPr>
      <w:r>
        <w:rPr>
          <w:rFonts w:hint="eastAsia" w:eastAsia="方正仿宋_GBK"/>
          <w:color w:val="000000"/>
          <w:lang w:val="en-US" w:eastAsia="zh-CN"/>
        </w:rPr>
        <w:t>12</w:t>
      </w:r>
      <w:r>
        <w:rPr>
          <w:rFonts w:eastAsia="方正仿宋_GBK"/>
          <w:color w:val="000000"/>
        </w:rPr>
        <w:t>.项目支出：指在基本支出之外为完成特定行政任务和事业发展目标所发生的支出。</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13</w:t>
      </w:r>
      <w:r>
        <w:rPr>
          <w:rFonts w:ascii="Times New Roman" w:hAnsi="Times New Roman" w:eastAsia="方正仿宋_GBK" w:cs="Times New Roman"/>
          <w:sz w:val="32"/>
          <w:szCs w:val="32"/>
        </w:rPr>
        <w:t>.“三公”经费：指单位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pPr>
        <w:pStyle w:val="40"/>
        <w:topLinePunct/>
        <w:autoSpaceDE/>
        <w:autoSpaceDN/>
        <w:spacing w:line="540" w:lineRule="exact"/>
        <w:ind w:firstLine="632" w:firstLineChars="200"/>
        <w:rPr>
          <w:rFonts w:ascii="Times New Roman" w:hAnsi="Times New Roman" w:eastAsia="方正仿宋_GBK" w:cs="Times New Roman"/>
          <w:sz w:val="32"/>
          <w:szCs w:val="32"/>
        </w:rPr>
      </w:pPr>
      <w:r>
        <w:rPr>
          <w:rFonts w:hint="eastAsia" w:ascii="Times New Roman" w:hAnsi="Times New Roman" w:eastAsia="方正仿宋_GBK" w:cs="Times New Roman"/>
          <w:sz w:val="32"/>
          <w:szCs w:val="32"/>
          <w:lang w:val="en-US" w:eastAsia="zh-CN"/>
        </w:rPr>
        <w:t>14</w:t>
      </w:r>
      <w:r>
        <w:rPr>
          <w:rFonts w:ascii="Times New Roman" w:hAnsi="Times New Roman" w:eastAsia="方正仿宋_GBK" w:cs="Times New Roman"/>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pPr>
        <w:topLinePunct/>
        <w:jc w:val="center"/>
        <w:outlineLvl w:val="0"/>
        <w:rPr>
          <w:rStyle w:val="26"/>
          <w:rFonts w:ascii="方正黑体_GBK" w:eastAsia="方正黑体_GBK"/>
          <w:b w:val="0"/>
          <w:bCs w:val="0"/>
          <w:sz w:val="32"/>
          <w:szCs w:val="32"/>
          <w:highlight w:val="green"/>
        </w:rPr>
      </w:pPr>
      <w:r>
        <w:rPr>
          <w:rFonts w:eastAsia="方正仿宋_GBK"/>
          <w:b/>
          <w:bCs/>
          <w:color w:val="000000"/>
        </w:rPr>
        <w:br w:type="page"/>
      </w:r>
      <w:bookmarkStart w:id="63" w:name="_Toc108529868"/>
      <w:r>
        <w:rPr>
          <w:rFonts w:hint="eastAsia" w:ascii="方正黑体_GBK" w:eastAsia="方正黑体_GBK"/>
          <w:color w:val="000000"/>
        </w:rPr>
        <w:t>第</w:t>
      </w:r>
      <w:r>
        <w:rPr>
          <w:rStyle w:val="26"/>
          <w:rFonts w:hint="eastAsia" w:ascii="方正黑体_GBK" w:eastAsia="方正黑体_GBK"/>
          <w:b w:val="0"/>
          <w:bCs w:val="0"/>
          <w:sz w:val="32"/>
          <w:szCs w:val="32"/>
        </w:rPr>
        <w:t>四部分 附  件</w:t>
      </w:r>
      <w:bookmarkEnd w:id="63"/>
    </w:p>
    <w:p>
      <w:pPr>
        <w:rPr>
          <w:rFonts w:hint="default" w:eastAsia="方正仿宋"/>
          <w:lang w:val="en-US" w:eastAsia="zh-CN"/>
        </w:rPr>
      </w:pPr>
      <w:r>
        <w:t>附件1</w:t>
      </w:r>
      <w:r>
        <w:rPr>
          <w:rFonts w:hint="eastAsia"/>
          <w:lang w:val="en-US" w:eastAsia="zh-CN"/>
        </w:rPr>
        <w:t>-1</w:t>
      </w:r>
    </w:p>
    <w:p>
      <w:pPr>
        <w:ind w:firstLine="472" w:firstLineChars="200"/>
        <w:jc w:val="center"/>
        <w:rPr>
          <w:sz w:val="24"/>
          <w:szCs w:val="24"/>
        </w:rPr>
      </w:pPr>
      <w:r>
        <w:rPr>
          <w:sz w:val="24"/>
          <w:szCs w:val="24"/>
        </w:rPr>
        <w:t>2021年</w:t>
      </w:r>
      <w:r>
        <w:rPr>
          <w:rFonts w:hint="eastAsia"/>
          <w:sz w:val="24"/>
          <w:szCs w:val="24"/>
          <w:lang w:eastAsia="zh-CN"/>
        </w:rPr>
        <w:t>县级公立医院取消药品加成补助</w:t>
      </w:r>
      <w:r>
        <w:rPr>
          <w:sz w:val="24"/>
          <w:szCs w:val="24"/>
        </w:rPr>
        <w:t>项目自评表</w:t>
      </w:r>
    </w:p>
    <w:p>
      <w:pPr>
        <w:rPr>
          <w:rFonts w:hint="eastAsia" w:eastAsia="方正仿宋"/>
          <w:lang w:eastAsia="zh-CN"/>
        </w:rPr>
      </w:pPr>
      <w:r>
        <w:rPr>
          <w:rFonts w:hint="default"/>
          <w:lang w:val="en-US" w:eastAsia="zh-CN"/>
        </w:rPr>
        <w:drawing>
          <wp:inline distT="0" distB="0" distL="114300" distR="114300">
            <wp:extent cx="5334000" cy="6873240"/>
            <wp:effectExtent l="0" t="0" r="0" b="3810"/>
            <wp:docPr id="4" name="图片 4" descr="附件1 成都儿童专科医院2021年度项目（政策）支出绩效自评表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附件1 成都儿童专科医院2021年度项目（政策）支出绩效自评表_7"/>
                    <pic:cNvPicPr>
                      <a:picLocks noChangeAspect="1"/>
                    </pic:cNvPicPr>
                  </pic:nvPicPr>
                  <pic:blipFill>
                    <a:blip r:embed="rId12"/>
                    <a:stretch>
                      <a:fillRect/>
                    </a:stretch>
                  </pic:blipFill>
                  <pic:spPr>
                    <a:xfrm>
                      <a:off x="0" y="0"/>
                      <a:ext cx="5334000" cy="6873240"/>
                    </a:xfrm>
                    <a:prstGeom prst="rect">
                      <a:avLst/>
                    </a:prstGeom>
                  </pic:spPr>
                </pic:pic>
              </a:graphicData>
            </a:graphic>
          </wp:inline>
        </w:drawing>
      </w:r>
    </w:p>
    <w:p>
      <w:pPr>
        <w:sectPr>
          <w:footerReference r:id="rId3" w:type="default"/>
          <w:footerReference r:id="rId4" w:type="even"/>
          <w:pgSz w:w="11906" w:h="16838"/>
          <w:pgMar w:top="2098" w:right="1531" w:bottom="1985" w:left="1531" w:header="709" w:footer="1418" w:gutter="0"/>
          <w:cols w:space="425" w:num="1"/>
          <w:docGrid w:type="linesAndChars" w:linePitch="579" w:charSpace="-849"/>
        </w:sectPr>
      </w:pPr>
    </w:p>
    <w:p>
      <w:pPr>
        <w:rPr>
          <w:rFonts w:hint="eastAsia"/>
          <w:lang w:val="en-US" w:eastAsia="zh-CN"/>
        </w:rPr>
      </w:pPr>
      <w:r>
        <w:rPr>
          <w:rFonts w:hint="eastAsia"/>
          <w:lang w:eastAsia="zh-CN"/>
        </w:rPr>
        <w:t>附件</w:t>
      </w:r>
      <w:r>
        <w:rPr>
          <w:rFonts w:hint="eastAsia"/>
          <w:lang w:val="en-US" w:eastAsia="zh-CN"/>
        </w:rPr>
        <w:t>1-2</w:t>
      </w:r>
    </w:p>
    <w:p>
      <w:pPr>
        <w:ind w:firstLine="472" w:firstLineChars="200"/>
        <w:jc w:val="center"/>
        <w:rPr>
          <w:rFonts w:hint="default"/>
          <w:lang w:val="en-US" w:eastAsia="zh-CN"/>
        </w:rPr>
        <w:sectPr>
          <w:pgSz w:w="11906" w:h="16838"/>
          <w:pgMar w:top="2098" w:right="1531" w:bottom="1985" w:left="1531" w:header="709" w:footer="1418" w:gutter="0"/>
          <w:cols w:space="425" w:num="1"/>
          <w:docGrid w:type="linesAndChars" w:linePitch="579" w:charSpace="-849"/>
        </w:sectPr>
      </w:pPr>
      <w:r>
        <w:rPr>
          <w:sz w:val="24"/>
          <w:szCs w:val="24"/>
        </w:rPr>
        <w:t>2021年</w:t>
      </w:r>
      <w:r>
        <w:rPr>
          <w:rFonts w:hint="eastAsia"/>
          <w:sz w:val="24"/>
          <w:szCs w:val="24"/>
          <w:lang w:val="en-US" w:eastAsia="zh-CN"/>
        </w:rPr>
        <w:t>新型冠状病毒感染的肺炎疫情防控应急专项资金-核酸检测</w:t>
      </w:r>
      <w:r>
        <w:rPr>
          <w:sz w:val="24"/>
          <w:szCs w:val="24"/>
        </w:rPr>
        <w:t>项目自评</w:t>
      </w:r>
      <w:r>
        <w:rPr>
          <w:rFonts w:hint="default"/>
          <w:lang w:val="en-US" w:eastAsia="zh-CN"/>
        </w:rPr>
        <w:drawing>
          <wp:inline distT="0" distB="0" distL="114300" distR="114300">
            <wp:extent cx="5568950" cy="6972935"/>
            <wp:effectExtent l="0" t="0" r="12700" b="18415"/>
            <wp:docPr id="5" name="图片 5" descr="附件1 成都儿童专科医院2021年度项目（政策）支出绩效自评表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附件1 成都儿童专科医院2021年度项目（政策）支出绩效自评表_02"/>
                    <pic:cNvPicPr>
                      <a:picLocks noChangeAspect="1"/>
                    </pic:cNvPicPr>
                  </pic:nvPicPr>
                  <pic:blipFill>
                    <a:blip r:embed="rId13"/>
                    <a:stretch>
                      <a:fillRect/>
                    </a:stretch>
                  </pic:blipFill>
                  <pic:spPr>
                    <a:xfrm>
                      <a:off x="0" y="0"/>
                      <a:ext cx="5568950" cy="6972935"/>
                    </a:xfrm>
                    <a:prstGeom prst="rect">
                      <a:avLst/>
                    </a:prstGeom>
                  </pic:spPr>
                </pic:pic>
              </a:graphicData>
            </a:graphic>
          </wp:inline>
        </w:drawing>
      </w:r>
    </w:p>
    <w:p>
      <w:pPr>
        <w:rPr>
          <w:rFonts w:hint="eastAsia"/>
          <w:lang w:val="en-US" w:eastAsia="zh-CN"/>
        </w:rPr>
      </w:pPr>
      <w:r>
        <w:rPr>
          <w:rFonts w:hint="eastAsia"/>
          <w:lang w:val="en-US" w:eastAsia="zh-CN"/>
        </w:rPr>
        <w:t>附件1-3</w:t>
      </w:r>
    </w:p>
    <w:p>
      <w:pPr>
        <w:jc w:val="center"/>
        <w:rPr>
          <w:sz w:val="24"/>
          <w:szCs w:val="24"/>
        </w:rPr>
      </w:pPr>
      <w:r>
        <w:rPr>
          <w:sz w:val="24"/>
          <w:szCs w:val="24"/>
        </w:rPr>
        <w:t>2021年</w:t>
      </w:r>
      <w:r>
        <w:rPr>
          <w:rFonts w:hint="eastAsia"/>
          <w:sz w:val="24"/>
          <w:szCs w:val="24"/>
          <w:lang w:val="en-US" w:eastAsia="zh-CN"/>
        </w:rPr>
        <w:t>医疗机构儿科门（急）诊专项补助</w:t>
      </w:r>
      <w:r>
        <w:rPr>
          <w:sz w:val="24"/>
          <w:szCs w:val="24"/>
        </w:rPr>
        <w:t>项目自评</w:t>
      </w:r>
    </w:p>
    <w:p>
      <w:pPr>
        <w:jc w:val="center"/>
        <w:rPr>
          <w:rFonts w:hint="eastAsia" w:eastAsia="方正仿宋"/>
          <w:sz w:val="24"/>
          <w:szCs w:val="24"/>
          <w:lang w:val="en-US" w:eastAsia="zh-CN"/>
        </w:rPr>
        <w:sectPr>
          <w:pgSz w:w="11906" w:h="16838"/>
          <w:pgMar w:top="2098" w:right="1531" w:bottom="1985" w:left="1531" w:header="709" w:footer="1418" w:gutter="0"/>
          <w:cols w:space="425" w:num="1"/>
          <w:docGrid w:type="linesAndChars" w:linePitch="579" w:charSpace="-849"/>
        </w:sectPr>
      </w:pPr>
      <w:r>
        <w:rPr>
          <w:rFonts w:hint="eastAsia" w:eastAsia="方正仿宋"/>
          <w:sz w:val="24"/>
          <w:szCs w:val="24"/>
          <w:lang w:val="en-US" w:eastAsia="zh-CN"/>
        </w:rPr>
        <w:drawing>
          <wp:inline distT="0" distB="0" distL="114300" distR="114300">
            <wp:extent cx="5414645" cy="7182485"/>
            <wp:effectExtent l="0" t="0" r="14605" b="18415"/>
            <wp:docPr id="7" name="图片 7" descr="附件1 成都儿童专科医院2021年度项目（政策）支出绩效自评表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附件1 成都儿童专科医院2021年度项目（政策）支出绩效自评表_6"/>
                    <pic:cNvPicPr>
                      <a:picLocks noChangeAspect="1"/>
                    </pic:cNvPicPr>
                  </pic:nvPicPr>
                  <pic:blipFill>
                    <a:blip r:embed="rId14"/>
                    <a:stretch>
                      <a:fillRect/>
                    </a:stretch>
                  </pic:blipFill>
                  <pic:spPr>
                    <a:xfrm>
                      <a:off x="0" y="0"/>
                      <a:ext cx="5414645" cy="7182485"/>
                    </a:xfrm>
                    <a:prstGeom prst="rect">
                      <a:avLst/>
                    </a:prstGeom>
                  </pic:spPr>
                </pic:pic>
              </a:graphicData>
            </a:graphic>
          </wp:inline>
        </w:drawing>
      </w:r>
    </w:p>
    <w:p>
      <w:pPr>
        <w:rPr>
          <w:rFonts w:hint="eastAsia"/>
          <w:lang w:val="en-US" w:eastAsia="zh-CN"/>
        </w:rPr>
      </w:pPr>
      <w:r>
        <w:rPr>
          <w:rFonts w:hint="eastAsia"/>
          <w:lang w:val="en-US" w:eastAsia="zh-CN"/>
        </w:rPr>
        <w:t>附件1-4</w:t>
      </w:r>
    </w:p>
    <w:p>
      <w:pPr>
        <w:jc w:val="center"/>
        <w:rPr>
          <w:rFonts w:hint="eastAsia"/>
          <w:lang w:val="en-US" w:eastAsia="zh-CN"/>
        </w:rPr>
      </w:pPr>
      <w:r>
        <w:rPr>
          <w:sz w:val="24"/>
          <w:szCs w:val="24"/>
        </w:rPr>
        <w:t>2021年</w:t>
      </w:r>
      <w:r>
        <w:rPr>
          <w:rFonts w:hint="eastAsia"/>
          <w:sz w:val="24"/>
          <w:szCs w:val="24"/>
          <w:lang w:val="en-US" w:eastAsia="zh-CN"/>
        </w:rPr>
        <w:t>新冠疫情防控经费-发热门诊（诊室）</w:t>
      </w:r>
      <w:r>
        <w:rPr>
          <w:sz w:val="24"/>
          <w:szCs w:val="24"/>
        </w:rPr>
        <w:t>项目自评</w:t>
      </w:r>
      <w:r>
        <w:rPr>
          <w:rFonts w:hint="eastAsia" w:eastAsia="方正仿宋"/>
          <w:lang w:val="en-US" w:eastAsia="zh-CN"/>
        </w:rPr>
        <w:drawing>
          <wp:inline distT="0" distB="0" distL="114300" distR="114300">
            <wp:extent cx="5510530" cy="7168515"/>
            <wp:effectExtent l="0" t="0" r="13970" b="13335"/>
            <wp:docPr id="8" name="图片 8" descr="附件1 成都儿童专科医院2021年度项目（政策）支出绩效自评表_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附件1 成都儿童专科医院2021年度项目（政策）支出绩效自评表_00"/>
                    <pic:cNvPicPr>
                      <a:picLocks noChangeAspect="1"/>
                    </pic:cNvPicPr>
                  </pic:nvPicPr>
                  <pic:blipFill>
                    <a:blip r:embed="rId15"/>
                    <a:stretch>
                      <a:fillRect/>
                    </a:stretch>
                  </pic:blipFill>
                  <pic:spPr>
                    <a:xfrm>
                      <a:off x="0" y="0"/>
                      <a:ext cx="5510530" cy="7168515"/>
                    </a:xfrm>
                    <a:prstGeom prst="rect">
                      <a:avLst/>
                    </a:prstGeom>
                  </pic:spPr>
                </pic:pic>
              </a:graphicData>
            </a:graphic>
          </wp:inline>
        </w:drawing>
      </w:r>
    </w:p>
    <w:p>
      <w:pPr>
        <w:jc w:val="left"/>
        <w:rPr>
          <w:rFonts w:hint="eastAsia"/>
          <w:lang w:val="en-US" w:eastAsia="zh-CN"/>
        </w:rPr>
      </w:pPr>
      <w:r>
        <w:rPr>
          <w:rFonts w:hint="eastAsia"/>
          <w:lang w:val="en-US" w:eastAsia="zh-CN"/>
        </w:rPr>
        <w:t>附件1-5</w:t>
      </w:r>
    </w:p>
    <w:p>
      <w:pPr>
        <w:jc w:val="center"/>
        <w:rPr>
          <w:sz w:val="24"/>
          <w:szCs w:val="24"/>
        </w:rPr>
      </w:pPr>
      <w:r>
        <w:rPr>
          <w:sz w:val="24"/>
          <w:szCs w:val="24"/>
        </w:rPr>
        <w:t>2021年</w:t>
      </w:r>
      <w:r>
        <w:rPr>
          <w:rFonts w:hint="eastAsia"/>
          <w:sz w:val="24"/>
          <w:szCs w:val="24"/>
          <w:lang w:val="en-US" w:eastAsia="zh-CN"/>
        </w:rPr>
        <w:t>新冠疫情防控经费-发热门诊（诊室）</w:t>
      </w:r>
      <w:r>
        <w:rPr>
          <w:sz w:val="24"/>
          <w:szCs w:val="24"/>
        </w:rPr>
        <w:t>项目自评</w:t>
      </w:r>
    </w:p>
    <w:p>
      <w:pPr>
        <w:jc w:val="center"/>
        <w:rPr>
          <w:rFonts w:hint="eastAsia" w:eastAsia="方正仿宋"/>
          <w:sz w:val="24"/>
          <w:szCs w:val="24"/>
          <w:lang w:val="en-US" w:eastAsia="zh-CN"/>
        </w:rPr>
        <w:sectPr>
          <w:pgSz w:w="11906" w:h="16838"/>
          <w:pgMar w:top="2098" w:right="1531" w:bottom="1985" w:left="1531" w:header="709" w:footer="1418" w:gutter="0"/>
          <w:cols w:space="425" w:num="1"/>
          <w:docGrid w:type="linesAndChars" w:linePitch="579" w:charSpace="-849"/>
        </w:sectPr>
      </w:pPr>
      <w:r>
        <w:rPr>
          <w:rFonts w:hint="eastAsia" w:eastAsia="方正仿宋"/>
          <w:sz w:val="24"/>
          <w:szCs w:val="24"/>
          <w:lang w:val="en-US" w:eastAsia="zh-CN"/>
        </w:rPr>
        <w:drawing>
          <wp:inline distT="0" distB="0" distL="114300" distR="114300">
            <wp:extent cx="5471795" cy="7073900"/>
            <wp:effectExtent l="0" t="0" r="14605" b="12700"/>
            <wp:docPr id="10" name="图片 10" descr="附件1 成都儿童专科医院2021年度项目（政策）支出绩效自评表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附件1 成都儿童专科医院2021年度项目（政策）支出绩效自评表_01"/>
                    <pic:cNvPicPr>
                      <a:picLocks noChangeAspect="1"/>
                    </pic:cNvPicPr>
                  </pic:nvPicPr>
                  <pic:blipFill>
                    <a:blip r:embed="rId16"/>
                    <a:stretch>
                      <a:fillRect/>
                    </a:stretch>
                  </pic:blipFill>
                  <pic:spPr>
                    <a:xfrm>
                      <a:off x="0" y="0"/>
                      <a:ext cx="5471795" cy="7073900"/>
                    </a:xfrm>
                    <a:prstGeom prst="rect">
                      <a:avLst/>
                    </a:prstGeom>
                  </pic:spPr>
                </pic:pic>
              </a:graphicData>
            </a:graphic>
          </wp:inline>
        </w:drawing>
      </w:r>
    </w:p>
    <w:p>
      <w:r>
        <w:t>附件</w:t>
      </w:r>
      <w:r>
        <w:rPr>
          <w:rFonts w:hint="eastAsia"/>
        </w:rPr>
        <w:t xml:space="preserve">2    </w:t>
      </w:r>
    </w:p>
    <w:p>
      <w:pPr>
        <w:rPr>
          <w:rFonts w:hint="eastAsia" w:eastAsia="方正仿宋_GBK"/>
          <w:color w:val="000000"/>
          <w:lang w:eastAsia="zh-CN"/>
        </w:rPr>
      </w:pPr>
      <w:r>
        <w:rPr>
          <w:rFonts w:hint="eastAsia" w:eastAsia="方正仿宋_GBK"/>
          <w:color w:val="000000"/>
          <w:lang w:eastAsia="zh-CN"/>
        </w:rPr>
        <w:drawing>
          <wp:inline distT="0" distB="0" distL="114300" distR="114300">
            <wp:extent cx="5348605" cy="7559040"/>
            <wp:effectExtent l="0" t="0" r="4445" b="3810"/>
            <wp:docPr id="1" name="图片 1" descr="附件1 成都儿童专科医院2021年度项目（政策）支出绩效自评表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附件1 成都儿童专科医院2021年度项目（政策）支出绩效自评表_03"/>
                    <pic:cNvPicPr>
                      <a:picLocks noChangeAspect="1"/>
                    </pic:cNvPicPr>
                  </pic:nvPicPr>
                  <pic:blipFill>
                    <a:blip r:embed="rId17"/>
                    <a:stretch>
                      <a:fillRect/>
                    </a:stretch>
                  </pic:blipFill>
                  <pic:spPr>
                    <a:xfrm>
                      <a:off x="0" y="0"/>
                      <a:ext cx="5348605" cy="7559040"/>
                    </a:xfrm>
                    <a:prstGeom prst="rect">
                      <a:avLst/>
                    </a:prstGeom>
                  </pic:spPr>
                </pic:pic>
              </a:graphicData>
            </a:graphic>
          </wp:inline>
        </w:drawing>
      </w:r>
    </w:p>
    <w:p>
      <w:pPr>
        <w:rPr>
          <w:rFonts w:hint="eastAsia" w:eastAsia="方正仿宋_GBK"/>
          <w:color w:val="000000"/>
          <w:lang w:eastAsia="zh-CN"/>
        </w:rPr>
      </w:pPr>
      <w:r>
        <w:rPr>
          <w:rFonts w:hint="eastAsia" w:eastAsia="方正仿宋_GBK"/>
          <w:color w:val="000000"/>
          <w:lang w:eastAsia="zh-CN"/>
        </w:rPr>
        <w:drawing>
          <wp:inline distT="0" distB="0" distL="114300" distR="114300">
            <wp:extent cx="5611495" cy="7929880"/>
            <wp:effectExtent l="0" t="0" r="8255" b="13970"/>
            <wp:docPr id="2" name="图片 2" descr="附件1 成都儿童专科医院2021年度项目（政策）支出绩效自评表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附件1 成都儿童专科医院2021年度项目（政策）支出绩效自评表_04"/>
                    <pic:cNvPicPr>
                      <a:picLocks noChangeAspect="1"/>
                    </pic:cNvPicPr>
                  </pic:nvPicPr>
                  <pic:blipFill>
                    <a:blip r:embed="rId18"/>
                    <a:stretch>
                      <a:fillRect/>
                    </a:stretch>
                  </pic:blipFill>
                  <pic:spPr>
                    <a:xfrm>
                      <a:off x="0" y="0"/>
                      <a:ext cx="5611495" cy="7929880"/>
                    </a:xfrm>
                    <a:prstGeom prst="rect">
                      <a:avLst/>
                    </a:prstGeom>
                  </pic:spPr>
                </pic:pic>
              </a:graphicData>
            </a:graphic>
          </wp:inline>
        </w:drawing>
      </w:r>
    </w:p>
    <w:p>
      <w:pPr>
        <w:adjustRightInd w:val="0"/>
        <w:snapToGrid w:val="0"/>
        <w:rPr>
          <w:rFonts w:eastAsia="方正仿宋_GBK"/>
          <w:color w:val="000000"/>
          <w:kern w:val="0"/>
        </w:rPr>
      </w:pPr>
      <w:r>
        <w:rPr>
          <w:rFonts w:hint="eastAsia" w:eastAsia="方正仿宋_GBK"/>
          <w:color w:val="000000"/>
          <w:kern w:val="0"/>
        </w:rPr>
        <w:t>附件3</w:t>
      </w:r>
    </w:p>
    <w:p>
      <w:pPr>
        <w:adjustRightInd w:val="0"/>
        <w:snapToGrid w:val="0"/>
        <w:jc w:val="center"/>
        <w:rPr>
          <w:rFonts w:eastAsia="方正小标宋_GBK"/>
          <w:kern w:val="0"/>
          <w:sz w:val="44"/>
          <w:szCs w:val="44"/>
        </w:rPr>
      </w:pPr>
      <w:r>
        <w:rPr>
          <w:rFonts w:hint="eastAsia" w:eastAsia="方正小标宋_GBK"/>
          <w:kern w:val="0"/>
          <w:sz w:val="44"/>
          <w:szCs w:val="44"/>
        </w:rPr>
        <w:t>成都市青羊区</w:t>
      </w:r>
      <w:r>
        <w:rPr>
          <w:rFonts w:hint="eastAsia" w:ascii="宋体" w:hAnsi="宋体"/>
          <w:sz w:val="44"/>
          <w:szCs w:val="44"/>
        </w:rPr>
        <w:t>成都儿童专科医院</w:t>
      </w:r>
      <w:r>
        <w:rPr>
          <w:rFonts w:hint="eastAsia" w:eastAsia="方正小标宋_GBK"/>
          <w:kern w:val="0"/>
          <w:sz w:val="44"/>
          <w:szCs w:val="44"/>
        </w:rPr>
        <w:t>20</w:t>
      </w:r>
      <w:r>
        <w:rPr>
          <w:rFonts w:eastAsia="方正小标宋_GBK"/>
          <w:kern w:val="0"/>
          <w:sz w:val="44"/>
          <w:szCs w:val="44"/>
        </w:rPr>
        <w:t>21</w:t>
      </w:r>
      <w:r>
        <w:rPr>
          <w:rFonts w:hint="eastAsia" w:eastAsia="方正小标宋_GBK"/>
          <w:kern w:val="0"/>
          <w:sz w:val="44"/>
          <w:szCs w:val="44"/>
        </w:rPr>
        <w:t>年部门整体支出</w:t>
      </w:r>
    </w:p>
    <w:p>
      <w:pPr>
        <w:adjustRightInd w:val="0"/>
        <w:snapToGrid w:val="0"/>
        <w:jc w:val="center"/>
        <w:rPr>
          <w:rFonts w:eastAsia="方正小标宋_GBK"/>
          <w:kern w:val="0"/>
          <w:sz w:val="44"/>
          <w:szCs w:val="44"/>
        </w:rPr>
      </w:pPr>
      <w:r>
        <w:rPr>
          <w:rFonts w:hint="eastAsia" w:eastAsia="方正小标宋_GBK"/>
          <w:kern w:val="0"/>
          <w:sz w:val="44"/>
          <w:szCs w:val="44"/>
        </w:rPr>
        <w:t>绩效自评报告</w:t>
      </w:r>
    </w:p>
    <w:p>
      <w:pPr>
        <w:jc w:val="center"/>
        <w:rPr>
          <w:rFonts w:eastAsia="方正楷体_GBK"/>
        </w:rPr>
      </w:pPr>
      <w:r>
        <w:rPr>
          <w:rFonts w:eastAsia="方正楷体_GBK"/>
        </w:rPr>
        <w:t>（报告范围包括</w:t>
      </w:r>
      <w:r>
        <w:rPr>
          <w:rFonts w:hint="eastAsia" w:eastAsia="方正楷体_GBK"/>
        </w:rPr>
        <w:t>区</w:t>
      </w:r>
      <w:r>
        <w:rPr>
          <w:rFonts w:eastAsia="方正楷体_GBK"/>
        </w:rPr>
        <w:t>级部门和下属二级预算单位）</w:t>
      </w:r>
    </w:p>
    <w:p>
      <w:pPr>
        <w:autoSpaceDE w:val="0"/>
        <w:autoSpaceDN w:val="0"/>
        <w:adjustRightInd w:val="0"/>
        <w:ind w:firstLine="632" w:firstLineChars="200"/>
        <w:jc w:val="left"/>
        <w:rPr>
          <w:rFonts w:ascii="方正黑体" w:eastAsia="方正黑体"/>
        </w:rPr>
      </w:pPr>
      <w:r>
        <w:rPr>
          <w:rFonts w:hint="eastAsia" w:ascii="方正黑体_GBK" w:eastAsia="方正黑体_GBK"/>
          <w:kern w:val="0"/>
        </w:rPr>
        <w:t>一、</w:t>
      </w:r>
      <w:r>
        <w:rPr>
          <w:rFonts w:hint="eastAsia" w:ascii="方正黑体" w:eastAsia="方正黑体"/>
        </w:rPr>
        <w:t>部门（单位）概况</w:t>
      </w:r>
    </w:p>
    <w:p>
      <w:pPr>
        <w:topLinePunct/>
        <w:ind w:firstLine="632" w:firstLineChars="200"/>
        <w:rPr>
          <w:rFonts w:hint="eastAsia" w:eastAsia="方正仿宋_GBK"/>
        </w:rPr>
      </w:pPr>
      <w:r>
        <w:rPr>
          <w:rFonts w:eastAsia="方正仿宋_GBK"/>
        </w:rPr>
        <w:t>（一）部门（单位）</w:t>
      </w:r>
      <w:r>
        <w:rPr>
          <w:rFonts w:hint="eastAsia" w:eastAsia="方正仿宋_GBK"/>
        </w:rPr>
        <w:t>职能职责</w:t>
      </w:r>
    </w:p>
    <w:p>
      <w:pPr>
        <w:adjustRightInd w:val="0"/>
        <w:snapToGrid w:val="0"/>
        <w:spacing w:line="560" w:lineRule="exact"/>
        <w:ind w:firstLine="536"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pacing w:val="-4"/>
          <w:sz w:val="28"/>
          <w:szCs w:val="28"/>
        </w:rPr>
        <w:t>医院拥有小儿呼吸内科、消化内科、神经内科、血液肾病、中医、小儿外科、口腔科、皮肤科等多学科的专家队伍。多名专家担任国家、省市级医学会、各专委会委员及成都市儿科质控中心专家成员。医院现有编制床位210张，年门诊量30-40万人次，年收治住院病人，6000余人次，年业务收入1.22亿。设有小儿呼吸内科、消化内科、神经内科、血液肾病、小儿外科、儿童预防保健、中医科、口腔科、眼-耳鼻喉科、皮肤科等22个临床专科和亚专业，是成都市青羊区儿科质量控制中心。长期以来，医院重视医疗技术的提高和学科发展建设，开展了小儿外科微创腔镜治疗、小儿无痛电子胃镜检查、肺功能检查、一氧化氮检测、13-碳呼吸实验检测幽门螺杆菌感染、脑电地形图、鼻腔负压置换、鼻耳内镜检查、耳针等40余项专业技术。我院历史悠久的经方验方院内制剂蓝板感冒冲剂、退热颗粒、麻杏咳喘颗粒、山楂消食颗粒、玄黄清咽糖浆、地霜等十余种院内制剂已有数十年历史。在学科建设方面，小儿消化内科是市级重点专科。在临床科研方面，我院省级科研项目《EV/EV71/CA16-SAT检测在儿童手足口病中的应用价值》已经结题并获得省内先进的鉴定结论。信息化建设方面，医院曾在2015年被评为四川省数字化医院，医院信息化建设完善，支付宝、微信及天府市民云均可以预约挂号，减少了挂号缴费的排队等待时间。医院作为政府举办的公立医院，充分体现医院的公益性，积极承担各种社会责任，全体儿专人本着“立足青羊，服务全市”的运营理念，将继续秉承“医者德为先”的核心价值观和“德高、业精、公益、安全”的医院服务宗旨，以精湛的医术和高度的责任感承载生命的重托而努力奋斗！</w:t>
      </w:r>
    </w:p>
    <w:p>
      <w:pPr>
        <w:topLinePunct/>
        <w:ind w:firstLine="632" w:firstLineChars="200"/>
        <w:rPr>
          <w:rFonts w:eastAsia="方正仿宋_GBK"/>
        </w:rPr>
      </w:pPr>
      <w:r>
        <w:rPr>
          <w:rFonts w:hint="eastAsia" w:eastAsia="方正仿宋_GBK"/>
        </w:rPr>
        <w:t>（二）部门组织架构</w:t>
      </w:r>
    </w:p>
    <w:p>
      <w:pPr>
        <w:topLinePunct/>
        <w:ind w:firstLine="632" w:firstLineChars="200"/>
        <w:rPr>
          <w:rFonts w:hint="eastAsia" w:eastAsia="方正仿宋_GBK"/>
        </w:rPr>
      </w:pPr>
      <w:r>
        <w:rPr>
          <w:rFonts w:hint="eastAsia" w:eastAsia="方正仿宋_GBK"/>
        </w:rPr>
        <w:t>1.机构设置</w:t>
      </w:r>
    </w:p>
    <w:p>
      <w:pPr>
        <w:adjustRightInd w:val="0"/>
        <w:snapToGrid w:val="0"/>
        <w:spacing w:line="560" w:lineRule="exact"/>
        <w:ind w:firstLine="536" w:firstLineChars="200"/>
        <w:rPr>
          <w:rFonts w:hint="eastAsia" w:asciiTheme="minorEastAsia" w:hAnsiTheme="minorEastAsia" w:eastAsiaTheme="minorEastAsia" w:cstheme="minorEastAsia"/>
          <w:spacing w:val="-4"/>
          <w:sz w:val="28"/>
          <w:szCs w:val="28"/>
        </w:rPr>
      </w:pPr>
      <w:r>
        <w:rPr>
          <w:rFonts w:hint="eastAsia" w:asciiTheme="minorEastAsia" w:hAnsiTheme="minorEastAsia" w:eastAsiaTheme="minorEastAsia" w:cstheme="minorEastAsia"/>
          <w:spacing w:val="-4"/>
          <w:sz w:val="28"/>
          <w:szCs w:val="28"/>
        </w:rPr>
        <w:t>我院创办于1937年，其前身是“序宾儿科诊所”，解放后公私合营改名为“西城区儿童医院”，1985年，改名“成都儿童医院”，1991年更名为“成都儿童专科医院”。我院是政府举办的非营利性公立医院，集医疗、科研、教学、预防保健为一体，是西南地区历史最悠久的一所二级甲等儿童专科医院，医院现有青羊、成华两个院区。</w:t>
      </w:r>
    </w:p>
    <w:p>
      <w:pPr>
        <w:numPr>
          <w:ilvl w:val="0"/>
          <w:numId w:val="2"/>
        </w:numPr>
        <w:topLinePunct/>
        <w:ind w:firstLine="632" w:firstLineChars="200"/>
        <w:rPr>
          <w:rFonts w:hint="eastAsia" w:eastAsia="方正仿宋_GBK"/>
        </w:rPr>
      </w:pPr>
      <w:r>
        <w:rPr>
          <w:rFonts w:hint="eastAsia" w:eastAsia="方正仿宋_GBK"/>
        </w:rPr>
        <w:t>人员构成</w:t>
      </w:r>
    </w:p>
    <w:p>
      <w:pPr>
        <w:adjustRightInd w:val="0"/>
        <w:snapToGrid w:val="0"/>
        <w:spacing w:line="560" w:lineRule="exact"/>
        <w:ind w:firstLine="536" w:firstLineChars="200"/>
        <w:rPr>
          <w:rFonts w:hint="eastAsia" w:eastAsia="方正仿宋_GBK"/>
        </w:rPr>
      </w:pPr>
      <w:r>
        <w:rPr>
          <w:rFonts w:hint="eastAsia" w:asciiTheme="minorEastAsia" w:hAnsiTheme="minorEastAsia" w:eastAsiaTheme="minorEastAsia" w:cstheme="minorEastAsia"/>
          <w:spacing w:val="-4"/>
          <w:sz w:val="28"/>
          <w:szCs w:val="28"/>
        </w:rPr>
        <w:t>我院编制人员数为132人,截止2021年底,在职人员合计333人,其中:在编人员95人,聘用人员238人,年末退休人员143人。在我院的专业技术人员中，其中高级专业技术人员38人，中级专业技术人员90人，享受青羊区政府专家津贴的有1人。</w:t>
      </w:r>
    </w:p>
    <w:p>
      <w:pPr>
        <w:numPr>
          <w:ilvl w:val="0"/>
          <w:numId w:val="3"/>
        </w:numPr>
        <w:topLinePunct/>
        <w:ind w:firstLine="632" w:firstLineChars="200"/>
        <w:rPr>
          <w:rFonts w:eastAsia="方正仿宋_GBK"/>
        </w:rPr>
      </w:pPr>
      <w:r>
        <w:rPr>
          <w:rFonts w:hint="eastAsia" w:eastAsia="方正仿宋_GBK"/>
          <w:lang w:val="en-US" w:eastAsia="zh-CN"/>
        </w:rPr>
        <w:t xml:space="preserve"> </w:t>
      </w:r>
      <w:r>
        <w:rPr>
          <w:rFonts w:eastAsia="方正仿宋_GBK"/>
        </w:rPr>
        <w:t>当年部门（单位）重点工作任务</w:t>
      </w:r>
      <w:r>
        <w:rPr>
          <w:rFonts w:hint="eastAsia" w:eastAsia="方正仿宋_GBK"/>
        </w:rPr>
        <w:t>概述</w:t>
      </w:r>
      <w:r>
        <w:rPr>
          <w:rFonts w:eastAsia="方正仿宋_GBK"/>
        </w:rPr>
        <w:t>。</w:t>
      </w:r>
    </w:p>
    <w:p>
      <w:pPr>
        <w:adjustRightInd w:val="0"/>
        <w:snapToGrid w:val="0"/>
        <w:spacing w:line="560" w:lineRule="exact"/>
        <w:ind w:firstLine="536" w:firstLineChars="200"/>
        <w:rPr>
          <w:rFonts w:hint="eastAsia" w:asciiTheme="minorEastAsia" w:hAnsiTheme="minorEastAsia" w:eastAsiaTheme="minorEastAsia" w:cstheme="minorEastAsia"/>
          <w:spacing w:val="-4"/>
          <w:sz w:val="28"/>
          <w:szCs w:val="28"/>
        </w:rPr>
      </w:pPr>
      <w:r>
        <w:rPr>
          <w:rFonts w:hint="eastAsia" w:asciiTheme="minorEastAsia" w:hAnsiTheme="minorEastAsia" w:eastAsiaTheme="minorEastAsia" w:cstheme="minorEastAsia"/>
          <w:spacing w:val="-4"/>
          <w:sz w:val="28"/>
          <w:szCs w:val="28"/>
          <w:lang w:val="en-US" w:eastAsia="zh-CN"/>
        </w:rPr>
        <w:t>由于2021年疫情的常态化管理，我院在疫情防控中继续做好医疗保障工作，参与中考等各类考试等医疗保障6次，派出保障人员33人，在2021年11月成都发生疫情时曾先后抽调59名工作人员71人次开展大规模核酸采样工作，作为临时核酸采样点，还完成了全市重点人群2326人核酸检测，同时抽调医生参加机场疫情防控排查与酒店隔离工作。因受疫情影响，方便患者就医，经青羊区行政审批局批准，我院新增“互联网诊疗”服务，成为成都市青羊区首个取得“互联网医院”执业许可的公立医院，实现在线复诊、远程会诊、开具电子处方、慢病管理、药品配送等医疗业务满足市民多层次、多样化、个性化的医疗健康需求。我院小儿消化专业于2021年7月顺利通过成都市医学重点专科立项，实现从0到1的历史性突破。2021年我院《EV/EV71/CA16-SAT检测在儿童手足口病中的应用价值》科研项目通过四川省科技促进发展研究中心科技成果评价，评价结果为“达到省内先进水平”。为拓展医院业务发展，本年还完成了皮肤科水疗室、城北分院儿童语言发育与测评室、互联网直播间的新建和雾化室改建。接受上级安全生产检查19次，及时按要求整改。组织新冠疫情处置、防汛、放射事故、反恐和消防等各项应急演练共计11次。全年无重大安全事故。</w:t>
      </w:r>
    </w:p>
    <w:p>
      <w:pPr>
        <w:topLinePunct/>
        <w:ind w:firstLine="632" w:firstLineChars="200"/>
        <w:rPr>
          <w:rFonts w:ascii="方正黑体" w:eastAsia="方正黑体"/>
        </w:rPr>
      </w:pPr>
      <w:r>
        <w:rPr>
          <w:rFonts w:hint="eastAsia" w:ascii="方正黑体" w:eastAsia="方正黑体"/>
        </w:rPr>
        <w:t>二、</w:t>
      </w:r>
      <w:r>
        <w:rPr>
          <w:rFonts w:hint="eastAsia" w:ascii="方正黑体" w:eastAsia="方正黑体"/>
          <w:kern w:val="0"/>
        </w:rPr>
        <w:t>预算编制及执行情况</w:t>
      </w:r>
    </w:p>
    <w:p>
      <w:pPr>
        <w:topLinePunct/>
        <w:ind w:firstLine="632" w:firstLineChars="200"/>
        <w:rPr>
          <w:rFonts w:hint="eastAsia" w:eastAsia="方正仿宋_GBK"/>
          <w:lang w:eastAsia="zh-CN"/>
        </w:rPr>
      </w:pPr>
      <w:r>
        <w:rPr>
          <w:rFonts w:hint="eastAsia" w:eastAsia="方正仿宋_GBK"/>
        </w:rPr>
        <w:t>（一）预算编制情况。</w:t>
      </w:r>
    </w:p>
    <w:p>
      <w:pPr>
        <w:adjustRightInd w:val="0"/>
        <w:snapToGrid w:val="0"/>
        <w:spacing w:line="560" w:lineRule="exact"/>
        <w:ind w:firstLine="536" w:firstLineChars="200"/>
        <w:rPr>
          <w:rFonts w:hint="eastAsia" w:asciiTheme="minorEastAsia" w:hAnsiTheme="minorEastAsia" w:eastAsiaTheme="minorEastAsia" w:cstheme="minorEastAsia"/>
          <w:spacing w:val="-4"/>
          <w:sz w:val="28"/>
          <w:szCs w:val="28"/>
          <w:lang w:val="en-US" w:eastAsia="zh-CN"/>
        </w:rPr>
      </w:pPr>
      <w:r>
        <w:rPr>
          <w:rFonts w:hint="eastAsia" w:asciiTheme="minorEastAsia" w:hAnsiTheme="minorEastAsia" w:eastAsiaTheme="minorEastAsia" w:cstheme="minorEastAsia"/>
          <w:spacing w:val="-4"/>
          <w:sz w:val="28"/>
          <w:szCs w:val="28"/>
          <w:lang w:val="en-US" w:eastAsia="zh-CN"/>
        </w:rPr>
        <w:t>2021年我院年初预算收入786.11万元，预算调整13025.35万元；2021年我院年初预算支出786.11万元，预算调整13505.66万元，均为卫生健康支出。</w:t>
      </w:r>
    </w:p>
    <w:p>
      <w:pPr>
        <w:numPr>
          <w:ilvl w:val="0"/>
          <w:numId w:val="4"/>
        </w:numPr>
        <w:topLinePunct/>
        <w:ind w:firstLine="632" w:firstLineChars="200"/>
        <w:rPr>
          <w:rFonts w:hint="eastAsia" w:eastAsia="方正仿宋_GBK"/>
        </w:rPr>
      </w:pPr>
      <w:r>
        <w:rPr>
          <w:rFonts w:hint="eastAsia" w:eastAsia="方正仿宋_GBK"/>
          <w:lang w:val="en-US" w:eastAsia="zh-CN"/>
        </w:rPr>
        <w:t xml:space="preserve"> </w:t>
      </w:r>
      <w:r>
        <w:rPr>
          <w:rFonts w:hint="eastAsia" w:eastAsia="方正仿宋_GBK"/>
        </w:rPr>
        <w:t>预算执行情况。</w:t>
      </w:r>
    </w:p>
    <w:p>
      <w:pPr>
        <w:adjustRightInd w:val="0"/>
        <w:snapToGrid w:val="0"/>
        <w:spacing w:line="560" w:lineRule="exact"/>
        <w:ind w:firstLine="536" w:firstLineChars="200"/>
        <w:rPr>
          <w:rFonts w:hint="eastAsia" w:asciiTheme="minorEastAsia" w:hAnsiTheme="minorEastAsia" w:eastAsiaTheme="minorEastAsia" w:cstheme="minorEastAsia"/>
          <w:spacing w:val="-4"/>
          <w:sz w:val="28"/>
          <w:szCs w:val="28"/>
          <w:lang w:val="en-US" w:eastAsia="zh-CN"/>
        </w:rPr>
      </w:pPr>
      <w:r>
        <w:rPr>
          <w:rFonts w:hint="eastAsia" w:asciiTheme="minorEastAsia" w:hAnsiTheme="minorEastAsia" w:eastAsiaTheme="minorEastAsia" w:cstheme="minorEastAsia"/>
          <w:spacing w:val="-4"/>
          <w:sz w:val="28"/>
          <w:szCs w:val="28"/>
          <w:lang w:val="en-US" w:eastAsia="zh-CN"/>
        </w:rPr>
        <w:t>1．总体执行进度：2021年我院决算收入13025.35万元，决算支出13505.66万元，执行率100%。我院属于差额拨款单位，其中2021年度纳入财政预算支出1523.52万元，财政已全额拨付到位。</w:t>
      </w:r>
    </w:p>
    <w:p>
      <w:pPr>
        <w:spacing w:line="560" w:lineRule="exact"/>
        <w:ind w:firstLine="592" w:firstLineChars="200"/>
        <w:rPr>
          <w:rFonts w:hint="eastAsia" w:asciiTheme="minorEastAsia" w:hAnsiTheme="minorEastAsia" w:eastAsiaTheme="minorEastAsia" w:cstheme="minorEastAsia"/>
          <w:spacing w:val="-4"/>
          <w:sz w:val="28"/>
          <w:szCs w:val="28"/>
          <w:lang w:val="en-US" w:eastAsia="zh-CN"/>
        </w:rPr>
      </w:pPr>
      <w:r>
        <w:rPr>
          <w:rFonts w:hint="eastAsia" w:ascii="宋体" w:hAnsi="宋体"/>
          <w:sz w:val="30"/>
          <w:szCs w:val="30"/>
          <w:lang w:val="en-US" w:eastAsia="zh-CN"/>
        </w:rPr>
        <w:t>2、</w:t>
      </w:r>
      <w:r>
        <w:rPr>
          <w:rFonts w:hint="eastAsia" w:asciiTheme="minorEastAsia" w:hAnsiTheme="minorEastAsia" w:eastAsiaTheme="minorEastAsia" w:cstheme="minorEastAsia"/>
          <w:spacing w:val="-4"/>
          <w:sz w:val="28"/>
          <w:szCs w:val="28"/>
          <w:lang w:val="en-US" w:eastAsia="zh-CN"/>
        </w:rPr>
        <w:t>（1）基本支出情况</w:t>
      </w:r>
    </w:p>
    <w:p>
      <w:pPr>
        <w:adjustRightInd w:val="0"/>
        <w:snapToGrid w:val="0"/>
        <w:spacing w:line="560" w:lineRule="exact"/>
        <w:ind w:firstLine="536" w:firstLineChars="200"/>
        <w:rPr>
          <w:rFonts w:hint="eastAsia" w:asciiTheme="minorEastAsia" w:hAnsiTheme="minorEastAsia" w:eastAsiaTheme="minorEastAsia" w:cstheme="minorEastAsia"/>
          <w:spacing w:val="-4"/>
          <w:sz w:val="28"/>
          <w:szCs w:val="28"/>
          <w:lang w:val="en-US" w:eastAsia="zh-CN"/>
        </w:rPr>
      </w:pPr>
      <w:r>
        <w:rPr>
          <w:rFonts w:hint="eastAsia" w:asciiTheme="minorEastAsia" w:hAnsiTheme="minorEastAsia" w:eastAsiaTheme="minorEastAsia" w:cstheme="minorEastAsia"/>
          <w:spacing w:val="-4"/>
          <w:sz w:val="28"/>
          <w:szCs w:val="28"/>
          <w:lang w:val="en-US" w:eastAsia="zh-CN"/>
        </w:rPr>
        <w:t>2021年基本支出12683.10万元，其中人员经费5191.90万元，公用经费7491.20万元。2021年度一般公共预算财政拨款基本支出786.11万元，其中人员经费772.37万元，主要为人员的基本工资，其中公务员医疗补助13.74万元，主要为在编和退休人员的门诊医疗补助。</w:t>
      </w:r>
    </w:p>
    <w:p>
      <w:pPr>
        <w:adjustRightInd w:val="0"/>
        <w:snapToGrid w:val="0"/>
        <w:spacing w:line="560" w:lineRule="exact"/>
        <w:ind w:firstLine="536" w:firstLineChars="200"/>
        <w:rPr>
          <w:rFonts w:hint="eastAsia" w:asciiTheme="minorEastAsia" w:hAnsiTheme="minorEastAsia" w:eastAsiaTheme="minorEastAsia" w:cstheme="minorEastAsia"/>
          <w:spacing w:val="-4"/>
          <w:sz w:val="28"/>
          <w:szCs w:val="28"/>
          <w:lang w:val="en-US" w:eastAsia="zh-CN"/>
        </w:rPr>
      </w:pPr>
      <w:r>
        <w:rPr>
          <w:rFonts w:hint="eastAsia" w:asciiTheme="minorEastAsia" w:hAnsiTheme="minorEastAsia" w:eastAsiaTheme="minorEastAsia" w:cstheme="minorEastAsia"/>
          <w:spacing w:val="-4"/>
          <w:sz w:val="28"/>
          <w:szCs w:val="28"/>
          <w:lang w:val="en-US" w:eastAsia="zh-CN"/>
        </w:rPr>
        <w:t>（2）项目支出情况</w:t>
      </w:r>
    </w:p>
    <w:p>
      <w:pPr>
        <w:spacing w:line="560" w:lineRule="exact"/>
        <w:ind w:firstLine="536" w:firstLineChars="200"/>
        <w:rPr>
          <w:rFonts w:hint="eastAsia" w:ascii="宋体" w:hAnsi="宋体"/>
          <w:sz w:val="30"/>
          <w:szCs w:val="30"/>
          <w:lang w:eastAsia="zh-CN"/>
        </w:rPr>
      </w:pPr>
      <w:r>
        <w:rPr>
          <w:rFonts w:hint="eastAsia" w:asciiTheme="minorEastAsia" w:hAnsiTheme="minorEastAsia" w:eastAsiaTheme="minorEastAsia" w:cstheme="minorEastAsia"/>
          <w:spacing w:val="-4"/>
          <w:sz w:val="28"/>
          <w:szCs w:val="28"/>
          <w:lang w:val="en-US" w:eastAsia="zh-CN"/>
        </w:rPr>
        <w:t>2021年项目支出822.57万元，其中2021年度一般公共预算财政拨款项目支出737.41万元，项目列表如下：</w:t>
      </w:r>
    </w:p>
    <w:p>
      <w:pPr>
        <w:numPr>
          <w:ilvl w:val="0"/>
          <w:numId w:val="5"/>
        </w:numPr>
        <w:spacing w:line="560" w:lineRule="exact"/>
        <w:ind w:left="30" w:leftChars="0" w:firstLine="600" w:firstLineChars="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县级公立医院取消药品加成：年初预算数为0，调整预算数为7.68万元，</w:t>
      </w:r>
      <w:r>
        <w:rPr>
          <w:rFonts w:hint="eastAsia" w:asciiTheme="minorEastAsia" w:hAnsiTheme="minorEastAsia" w:eastAsiaTheme="minorEastAsia" w:cstheme="minorEastAsia"/>
          <w:sz w:val="28"/>
          <w:szCs w:val="28"/>
        </w:rPr>
        <w:t>财政已全额拨付到位</w:t>
      </w:r>
      <w:r>
        <w:rPr>
          <w:rFonts w:hint="eastAsia" w:asciiTheme="minorEastAsia" w:hAnsiTheme="minorEastAsia" w:eastAsiaTheme="minorEastAsia" w:cstheme="minorEastAsia"/>
          <w:sz w:val="28"/>
          <w:szCs w:val="28"/>
          <w:lang w:eastAsia="zh-CN"/>
        </w:rPr>
        <w:t>，</w:t>
      </w:r>
      <w:r>
        <w:rPr>
          <w:rFonts w:hint="eastAsia" w:asciiTheme="minorEastAsia" w:hAnsiTheme="minorEastAsia" w:eastAsiaTheme="minorEastAsia" w:cstheme="minorEastAsia"/>
          <w:sz w:val="28"/>
          <w:szCs w:val="28"/>
          <w:lang w:val="en-US" w:eastAsia="zh-CN"/>
        </w:rPr>
        <w:t>决算数为7.68万元，预算执行率100%。</w:t>
      </w:r>
    </w:p>
    <w:p>
      <w:pPr>
        <w:numPr>
          <w:ilvl w:val="0"/>
          <w:numId w:val="5"/>
        </w:numPr>
        <w:spacing w:line="560" w:lineRule="exact"/>
        <w:ind w:left="30" w:leftChars="0" w:firstLine="600" w:firstLineChars="0"/>
        <w:rPr>
          <w:rFonts w:hint="eastAsia" w:ascii="宋体" w:hAnsi="宋体"/>
          <w:sz w:val="30"/>
          <w:szCs w:val="30"/>
          <w:lang w:val="en-US" w:eastAsia="zh-CN"/>
        </w:rPr>
      </w:pPr>
      <w:r>
        <w:rPr>
          <w:rFonts w:hint="eastAsia" w:asciiTheme="minorEastAsia" w:hAnsiTheme="minorEastAsia" w:eastAsiaTheme="minorEastAsia" w:cstheme="minorEastAsia"/>
          <w:sz w:val="28"/>
          <w:szCs w:val="28"/>
          <w:lang w:val="en-US" w:eastAsia="zh-CN"/>
        </w:rPr>
        <w:t>区属公立医疗机构退休人员2020年度一次性生活补助：年初预算数为0，调整预算数为333.50万元，财政已全额拨付到位，决算数为333.50万元，预算执行率100%。</w:t>
      </w:r>
    </w:p>
    <w:p>
      <w:pPr>
        <w:numPr>
          <w:ilvl w:val="0"/>
          <w:numId w:val="5"/>
        </w:numPr>
        <w:spacing w:line="560" w:lineRule="exact"/>
        <w:ind w:left="30" w:leftChars="0" w:firstLine="600" w:firstLineChars="0"/>
        <w:rPr>
          <w:rFonts w:hint="eastAsia" w:asciiTheme="minorEastAsia" w:hAnsiTheme="minorEastAsia" w:eastAsiaTheme="minorEastAsia" w:cstheme="minorEastAsia"/>
          <w:sz w:val="28"/>
          <w:szCs w:val="28"/>
          <w:lang w:val="en-US" w:eastAsia="zh-CN"/>
        </w:rPr>
      </w:pPr>
      <w:r>
        <w:rPr>
          <w:rFonts w:hint="default" w:asciiTheme="minorEastAsia" w:hAnsiTheme="minorEastAsia" w:eastAsiaTheme="minorEastAsia" w:cstheme="minorEastAsia"/>
          <w:sz w:val="28"/>
          <w:szCs w:val="28"/>
          <w:lang w:val="en-US" w:eastAsia="zh-CN"/>
        </w:rPr>
        <w:t>基层党建工作经费</w:t>
      </w:r>
      <w:r>
        <w:rPr>
          <w:rFonts w:hint="eastAsia" w:asciiTheme="minorEastAsia" w:hAnsiTheme="minorEastAsia" w:eastAsiaTheme="minorEastAsia" w:cstheme="minorEastAsia"/>
          <w:sz w:val="28"/>
          <w:szCs w:val="28"/>
          <w:lang w:val="en-US" w:eastAsia="zh-CN"/>
        </w:rPr>
        <w:t>：年初预算数为0，调整预算数为0.23万元，财政已全额拨付到位，决算数为0.23万元，预算执行率100%。</w:t>
      </w:r>
    </w:p>
    <w:p>
      <w:pPr>
        <w:numPr>
          <w:ilvl w:val="0"/>
          <w:numId w:val="5"/>
        </w:numPr>
        <w:spacing w:line="560" w:lineRule="exact"/>
        <w:ind w:left="30" w:leftChars="0" w:firstLine="600" w:firstLineChars="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县级公立医院取消药品加成（市级补助）：年初预算数为0，调整预算数为52.19万元，财政已全额拨付到位，决算数为52.19万元，预算执行率100%。</w:t>
      </w:r>
    </w:p>
    <w:p>
      <w:pPr>
        <w:numPr>
          <w:ilvl w:val="0"/>
          <w:numId w:val="5"/>
        </w:numPr>
        <w:spacing w:line="560" w:lineRule="exact"/>
        <w:ind w:left="30" w:leftChars="0" w:firstLine="600" w:firstLineChars="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基本公共卫生服务项目经费（12项）（市级补助）：年初预算数为0，调整预算数为1.82万元，财政已全额拨付到位，决算数为1.82万元，预算执行率100%。</w:t>
      </w:r>
    </w:p>
    <w:p>
      <w:pPr>
        <w:numPr>
          <w:ilvl w:val="0"/>
          <w:numId w:val="5"/>
        </w:numPr>
        <w:spacing w:line="560" w:lineRule="exact"/>
        <w:ind w:left="30" w:leftChars="0" w:firstLine="600" w:firstLineChars="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2021年基本公共卫生服务项目经费（新增）（中央直达）：年初预算数为0，调整预算数为14.20万元，财政已全额拨付到位，决算数为14.20万元，预算执行率100%。</w:t>
      </w:r>
    </w:p>
    <w:p>
      <w:pPr>
        <w:numPr>
          <w:ilvl w:val="0"/>
          <w:numId w:val="5"/>
        </w:numPr>
        <w:spacing w:line="560" w:lineRule="exact"/>
        <w:ind w:left="30" w:leftChars="0" w:firstLine="600" w:firstLineChars="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2021年重大公共卫生服务（中央补助）：年初预算数为0，调整预算数为17.50万元，财政已全额拨付到位，决算数为17.50万元，预算执行率100%。</w:t>
      </w:r>
    </w:p>
    <w:p>
      <w:pPr>
        <w:numPr>
          <w:ilvl w:val="0"/>
          <w:numId w:val="5"/>
        </w:numPr>
        <w:spacing w:line="560" w:lineRule="exact"/>
        <w:ind w:left="30" w:leftChars="0" w:firstLine="600" w:firstLineChars="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重大公共卫生服务（市级补助）：年初预算数为0，调整预算数为4.25万元，财政已全额拨付到位，决算数为4.25万元，预算执行率100%。</w:t>
      </w:r>
    </w:p>
    <w:p>
      <w:pPr>
        <w:numPr>
          <w:ilvl w:val="0"/>
          <w:numId w:val="5"/>
        </w:numPr>
        <w:spacing w:line="560" w:lineRule="exact"/>
        <w:ind w:left="30" w:leftChars="0" w:firstLine="600" w:firstLineChars="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新冠疫情防控经费-发热门诊（诊室）：年初预算数为0，调整预算数为51.91万元，财政已全额拨付到位，决算数为51.91万元，预算执行率100%。</w:t>
      </w:r>
    </w:p>
    <w:p>
      <w:pPr>
        <w:numPr>
          <w:ilvl w:val="0"/>
          <w:numId w:val="5"/>
        </w:numPr>
        <w:spacing w:line="560" w:lineRule="exact"/>
        <w:ind w:left="30" w:leftChars="0" w:firstLine="600" w:firstLineChars="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突发公共卫生事件应急处理及医疗保障专项：年初预算数为0，调整预算数为1.03万元，财政已全额拨付到位，决算数为1.03万元，预算执行率100%。</w:t>
      </w:r>
    </w:p>
    <w:p>
      <w:pPr>
        <w:numPr>
          <w:ilvl w:val="0"/>
          <w:numId w:val="5"/>
        </w:numPr>
        <w:spacing w:line="560" w:lineRule="exact"/>
        <w:ind w:left="30" w:leftChars="0" w:firstLine="600" w:firstLineChars="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新型冠状病毒感染的肺炎疫情防控应急专项资金-核酸检测：年初预算数为0，调整预算数为20.94万元，财政已全额拨付到位，决算数为20.94万元，预算执行率100%。</w:t>
      </w:r>
    </w:p>
    <w:p>
      <w:pPr>
        <w:numPr>
          <w:ilvl w:val="0"/>
          <w:numId w:val="5"/>
        </w:numPr>
        <w:spacing w:line="560" w:lineRule="exact"/>
        <w:ind w:left="30" w:leftChars="0" w:firstLine="600" w:firstLineChars="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2020年新冠肺炎疫情防控中央补助资金（直达资金）：年初预算数为0，调整预算数为8.26万元，财政已全额拨付到位，决算数为8.26万元，预算执行率100%。</w:t>
      </w:r>
    </w:p>
    <w:p>
      <w:pPr>
        <w:numPr>
          <w:ilvl w:val="0"/>
          <w:numId w:val="5"/>
        </w:numPr>
        <w:spacing w:line="560" w:lineRule="exact"/>
        <w:ind w:left="30" w:leftChars="0" w:firstLine="600" w:firstLineChars="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新冠疫情防控经费-定点隔离酒店：年初预算数为0，调整预算数为46.49万元，财政已全额拨付到位，决算数为46.49万元，预算执行率100%。</w:t>
      </w:r>
    </w:p>
    <w:p>
      <w:pPr>
        <w:numPr>
          <w:ilvl w:val="0"/>
          <w:numId w:val="5"/>
        </w:numPr>
        <w:spacing w:line="560" w:lineRule="exact"/>
        <w:ind w:left="30" w:leftChars="0" w:firstLine="600" w:firstLineChars="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医联体建设（市级补助）：年初预算数为0，调整预算数为9.16万元，财政已全额拨付到位，决算数为9.16万元，预算执行率100%。</w:t>
      </w:r>
    </w:p>
    <w:p>
      <w:pPr>
        <w:numPr>
          <w:ilvl w:val="0"/>
          <w:numId w:val="5"/>
        </w:numPr>
        <w:spacing w:line="560" w:lineRule="exact"/>
        <w:ind w:left="30" w:leftChars="0" w:firstLine="600" w:firstLineChars="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医疗机构儿科门（急）诊专项补助：年初预算数为0，调整预算数为124.95万元，财政已全额拨付到位，决算数为124.95万元，预算执行率100%。</w:t>
      </w:r>
    </w:p>
    <w:p>
      <w:pPr>
        <w:numPr>
          <w:ilvl w:val="0"/>
          <w:numId w:val="5"/>
        </w:numPr>
        <w:spacing w:line="560" w:lineRule="exact"/>
        <w:ind w:left="30" w:leftChars="0" w:firstLine="600" w:firstLineChars="0"/>
        <w:rPr>
          <w:rFonts w:hint="eastAsia" w:ascii="宋体" w:hAnsi="宋体"/>
          <w:sz w:val="30"/>
          <w:szCs w:val="30"/>
          <w:lang w:val="en-US" w:eastAsia="zh-CN"/>
        </w:rPr>
      </w:pPr>
      <w:r>
        <w:rPr>
          <w:rFonts w:hint="eastAsia" w:asciiTheme="minorEastAsia" w:hAnsiTheme="minorEastAsia" w:eastAsiaTheme="minorEastAsia" w:cstheme="minorEastAsia"/>
          <w:sz w:val="28"/>
          <w:szCs w:val="28"/>
          <w:lang w:val="en-US" w:eastAsia="zh-CN"/>
        </w:rPr>
        <w:t>公立医院综合改革（中央直达）：年初预算数为0，调整预算数为41.72万元，财政已全额拨付到位，决算数为41.72万元，预算执行率100%。</w:t>
      </w:r>
    </w:p>
    <w:p>
      <w:pPr>
        <w:numPr>
          <w:ilvl w:val="0"/>
          <w:numId w:val="5"/>
        </w:numPr>
        <w:spacing w:line="560" w:lineRule="exact"/>
        <w:ind w:left="30" w:leftChars="0" w:firstLine="600" w:firstLineChars="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医疗服务与保障能力提升（省直达）：年初预算数为0，调整预算数为0.9万元，财政已全额拨付到位，决算数为0.9万元，预算执行率100%。</w:t>
      </w:r>
    </w:p>
    <w:p>
      <w:pPr>
        <w:numPr>
          <w:ilvl w:val="0"/>
          <w:numId w:val="5"/>
        </w:numPr>
        <w:spacing w:line="560" w:lineRule="exact"/>
        <w:ind w:left="30" w:leftChars="0" w:firstLine="600" w:firstLineChars="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2020年对口支援工程：年初预算数为0，调整预算数为0.68万元，财政已全额拨付到位，决算数为0.68万元，预算执行率100%。</w:t>
      </w:r>
    </w:p>
    <w:p>
      <w:pPr>
        <w:topLinePunct/>
        <w:ind w:firstLine="632" w:firstLineChars="200"/>
        <w:rPr>
          <w:rFonts w:hint="eastAsia" w:ascii="方正黑体" w:eastAsia="方正黑体"/>
          <w:lang w:val="en-US" w:eastAsia="zh-CN"/>
        </w:rPr>
      </w:pPr>
      <w:r>
        <w:rPr>
          <w:rFonts w:hint="eastAsia" w:ascii="方正黑体" w:eastAsia="方正黑体"/>
          <w:lang w:val="en-US" w:eastAsia="zh-CN"/>
        </w:rPr>
        <w:t>三、基本运行绩效情况</w:t>
      </w:r>
    </w:p>
    <w:p>
      <w:pPr>
        <w:adjustRightInd w:val="0"/>
        <w:snapToGrid w:val="0"/>
        <w:spacing w:line="560" w:lineRule="exact"/>
        <w:ind w:firstLine="592" w:firstLineChars="200"/>
        <w:rPr>
          <w:rFonts w:ascii="宋体" w:hAnsi="宋体"/>
          <w:sz w:val="30"/>
          <w:szCs w:val="30"/>
        </w:rPr>
      </w:pPr>
      <w:r>
        <w:rPr>
          <w:rFonts w:ascii="宋体" w:hAnsi="宋体"/>
          <w:sz w:val="30"/>
          <w:szCs w:val="30"/>
        </w:rPr>
        <w:t>（</w:t>
      </w:r>
      <w:r>
        <w:rPr>
          <w:rFonts w:hint="eastAsia" w:ascii="宋体" w:hAnsi="宋体"/>
          <w:sz w:val="30"/>
          <w:szCs w:val="30"/>
          <w:lang w:eastAsia="zh-CN"/>
        </w:rPr>
        <w:t>一</w:t>
      </w:r>
      <w:r>
        <w:rPr>
          <w:rFonts w:ascii="宋体" w:hAnsi="宋体"/>
          <w:sz w:val="30"/>
          <w:szCs w:val="30"/>
        </w:rPr>
        <w:t>）综合管理情况</w:t>
      </w:r>
    </w:p>
    <w:p>
      <w:pPr>
        <w:spacing w:line="560" w:lineRule="exact"/>
        <w:ind w:firstLine="552"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我院严格按照《成都市青羊区国有资产监督管理》管理制度，对国有资产进行管理，本院资产保存完整，资产配置未超标准，资产账面与固定资产卡片相符。在项目资金管理中，严格执行项目资金管理制度和规定，每笔项目开支都做到按照程序进行审批，只有经过授权的人员才能经手相关项目，未经授权人员不允许接触和处理经济业务。对于项目的重大资金安排或重要事项，能及时以召开会议的方式作出决定，实行集体决策确定，分管财务工作的领导审批。按照相关要求，制定了信息公开制度、监督、检查和责任追究制度，运用量化指标及评价标准，通过履行职能所确定的绩效目标的实现程度,对执行结果进行综合性评价,以检验资金支出效率和效果,通过落实绩效管理责任,完善工作机制来提高我院的管理水平</w:t>
      </w:r>
      <w:r>
        <w:rPr>
          <w:rFonts w:hint="eastAsia" w:asciiTheme="minorEastAsia" w:hAnsiTheme="minorEastAsia" w:eastAsiaTheme="minorEastAsia" w:cstheme="minorEastAsia"/>
          <w:sz w:val="28"/>
          <w:szCs w:val="28"/>
          <w:lang w:eastAsia="zh-CN"/>
        </w:rPr>
        <w:t>。</w:t>
      </w:r>
    </w:p>
    <w:p>
      <w:pPr>
        <w:topLinePunct/>
        <w:ind w:firstLine="632" w:firstLineChars="200"/>
        <w:rPr>
          <w:rFonts w:hint="eastAsia" w:eastAsia="方正仿宋_GBK"/>
        </w:rPr>
      </w:pPr>
      <w:r>
        <w:rPr>
          <w:rFonts w:hint="eastAsia" w:eastAsia="方正仿宋_GBK"/>
        </w:rPr>
        <w:t>（二）绩效管理。</w:t>
      </w:r>
    </w:p>
    <w:p>
      <w:pPr>
        <w:spacing w:line="560" w:lineRule="exact"/>
        <w:ind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2021年住院病人治愈率94.8%，较2020年93.1%提高1.7%。</w:t>
      </w:r>
    </w:p>
    <w:p>
      <w:pPr>
        <w:spacing w:line="560" w:lineRule="exact"/>
        <w:ind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门诊次均费用268.94元，较2020年272.69元下降1.38%，因发热病人的核酸检查为必做项目，且该部分病人在我院占比20%，故门诊均费用较无疫情年度高；住院次均费用4294.61元，较2020年4867.74元下降11.77%。</w:t>
      </w:r>
    </w:p>
    <w:p>
      <w:pPr>
        <w:spacing w:line="560" w:lineRule="exact"/>
        <w:ind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我院小儿消化专业于2021年7月顺利通过2021年成都市医学重点专科立项，实现从0到1的历史性突破。</w:t>
      </w:r>
    </w:p>
    <w:p>
      <w:pPr>
        <w:spacing w:line="560" w:lineRule="exact"/>
        <w:ind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认真履行“健康副校长”责任，“健康副校长”进校园活动6次，口腔窝沟封闭项目共检查344人，窝沟封闭259人，封闭831颗牙，窝沟封闭率75.29%。</w:t>
      </w:r>
    </w:p>
    <w:p>
      <w:pPr>
        <w:spacing w:line="560" w:lineRule="exact"/>
        <w:ind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rPr>
        <w:t>依托互联网平台，创新医院健康教育，以微信推文、视频直播形式开展更广范围、更多内容的儿童健康教育，2021年利用新媒体面向社会开展健康直播7次，受到家长们的一致好评。</w:t>
      </w:r>
    </w:p>
    <w:p>
      <w:pPr>
        <w:spacing w:line="560" w:lineRule="exact"/>
        <w:ind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6、</w:t>
      </w:r>
      <w:r>
        <w:rPr>
          <w:rFonts w:hint="eastAsia" w:asciiTheme="minorEastAsia" w:hAnsiTheme="minorEastAsia" w:eastAsiaTheme="minorEastAsia" w:cstheme="minorEastAsia"/>
          <w:sz w:val="28"/>
          <w:szCs w:val="28"/>
        </w:rPr>
        <w:t>继续承担新冠疫情防控和疫苗接种医疗保障，在2021年11月本市发生疫情时完成全市重点人群2326人核酸检测，抽调5名医务人员参加为期2周的流行病学调查工作，抽调10名医务人员协助进行大规模核酸采样，抽调医生1人参加为期1月的机场疫情防控排查。</w:t>
      </w:r>
    </w:p>
    <w:p>
      <w:pPr>
        <w:spacing w:line="560" w:lineRule="exact"/>
        <w:ind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院今年使用的2021年新冠疫情防控经费用-发热门诊专项经费均按照相关规定严格执行，合理使用，让发热门诊独立院外，更符合突发公共卫生应急事件的处理，保护了人民群众的人身安全，提高了人民群众对我院的满意度。</w:t>
      </w:r>
    </w:p>
    <w:p>
      <w:pPr>
        <w:topLinePunct/>
        <w:ind w:firstLine="632" w:firstLineChars="200"/>
        <w:rPr>
          <w:rFonts w:ascii="方正黑体" w:eastAsia="方正黑体"/>
        </w:rPr>
      </w:pPr>
      <w:r>
        <w:rPr>
          <w:rFonts w:hint="eastAsia" w:ascii="方正黑体" w:eastAsia="方正黑体"/>
        </w:rPr>
        <w:t>四</w:t>
      </w:r>
      <w:r>
        <w:rPr>
          <w:rFonts w:ascii="方正黑体" w:eastAsia="方正黑体"/>
        </w:rPr>
        <w:t>、</w:t>
      </w:r>
      <w:r>
        <w:rPr>
          <w:rFonts w:hint="eastAsia" w:ascii="方正黑体" w:eastAsia="方正黑体"/>
        </w:rPr>
        <w:t>重点履职</w:t>
      </w:r>
      <w:r>
        <w:rPr>
          <w:rFonts w:ascii="方正黑体" w:eastAsia="方正黑体"/>
        </w:rPr>
        <w:t>绩效</w:t>
      </w:r>
      <w:r>
        <w:rPr>
          <w:rFonts w:hint="eastAsia" w:ascii="方正黑体" w:eastAsia="方正黑体"/>
        </w:rPr>
        <w:t>分析</w:t>
      </w:r>
    </w:p>
    <w:p>
      <w:pPr>
        <w:autoSpaceDE w:val="0"/>
        <w:autoSpaceDN w:val="0"/>
        <w:adjustRightInd w:val="0"/>
        <w:ind w:firstLine="632" w:firstLineChars="200"/>
        <w:jc w:val="left"/>
        <w:rPr>
          <w:rFonts w:hint="eastAsia" w:eastAsia="方正仿宋_GBK"/>
        </w:rPr>
      </w:pPr>
      <w:r>
        <w:rPr>
          <w:rFonts w:hint="eastAsia" w:eastAsia="方正仿宋_GBK"/>
        </w:rPr>
        <w:t>（一）整体支出绩效目标及完成情况。</w:t>
      </w:r>
    </w:p>
    <w:p>
      <w:pPr>
        <w:spacing w:line="560" w:lineRule="exact"/>
        <w:ind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1、</w:t>
      </w:r>
      <w:r>
        <w:rPr>
          <w:rFonts w:hint="eastAsia" w:asciiTheme="minorEastAsia" w:hAnsiTheme="minorEastAsia" w:eastAsiaTheme="minorEastAsia" w:cstheme="minorEastAsia"/>
          <w:sz w:val="28"/>
          <w:szCs w:val="28"/>
        </w:rPr>
        <w:t>根据中央和省、市、县财政预算改革的有关要求，结合我院实际需要，按标准、按项目认真编制部门预算。预算执行方面，支出总额基本控制在预算总额以内；不存在截留或滞留专项资金情况。</w:t>
      </w:r>
    </w:p>
    <w:p>
      <w:pPr>
        <w:spacing w:line="560" w:lineRule="exact"/>
        <w:ind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2、</w:t>
      </w:r>
      <w:r>
        <w:rPr>
          <w:rFonts w:hint="eastAsia" w:asciiTheme="minorEastAsia" w:hAnsiTheme="minorEastAsia" w:eastAsiaTheme="minorEastAsia" w:cstheme="minorEastAsia"/>
          <w:sz w:val="28"/>
          <w:szCs w:val="28"/>
        </w:rPr>
        <w:t>以病人服务为中心，全心全意地投入到工作中，因疫情较2020年变好，业务量较上年有所提高。</w:t>
      </w:r>
    </w:p>
    <w:p>
      <w:pPr>
        <w:spacing w:line="560" w:lineRule="exact"/>
        <w:ind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3、</w:t>
      </w:r>
      <w:r>
        <w:rPr>
          <w:rFonts w:hint="eastAsia" w:asciiTheme="minorEastAsia" w:hAnsiTheme="minorEastAsia" w:eastAsiaTheme="minorEastAsia" w:cstheme="minorEastAsia"/>
          <w:sz w:val="28"/>
          <w:szCs w:val="28"/>
        </w:rPr>
        <w:t>抓好例行节约源头控制，强化部门整体支出，加强国有资产管理，提高资金使用效益，单位经费开支预算和单位财务管理制度执行，基本支出做到不铺张浪费，开源节流。</w:t>
      </w:r>
    </w:p>
    <w:p>
      <w:pPr>
        <w:spacing w:line="560" w:lineRule="exact"/>
        <w:ind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4、</w:t>
      </w:r>
      <w:r>
        <w:rPr>
          <w:rFonts w:hint="eastAsia" w:asciiTheme="minorEastAsia" w:hAnsiTheme="minorEastAsia" w:eastAsiaTheme="minorEastAsia" w:cstheme="minorEastAsia"/>
          <w:sz w:val="28"/>
          <w:szCs w:val="28"/>
        </w:rPr>
        <w:t>积极推行公立医院改革。通过取消药品价格加成，合理医疗行为、高调整医院的收入结构，加强医疗质量管理，切实控制医疗费用不合理增长。</w:t>
      </w:r>
    </w:p>
    <w:p>
      <w:pPr>
        <w:spacing w:line="560" w:lineRule="exact"/>
        <w:ind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val="en-US" w:eastAsia="zh-CN"/>
        </w:rPr>
        <w:t>5、</w:t>
      </w:r>
      <w:r>
        <w:rPr>
          <w:rFonts w:hint="eastAsia" w:asciiTheme="minorEastAsia" w:hAnsiTheme="minorEastAsia" w:eastAsiaTheme="minorEastAsia" w:cstheme="minorEastAsia"/>
          <w:sz w:val="28"/>
          <w:szCs w:val="28"/>
        </w:rPr>
        <w:t>加强医院急救能力建设。组建应急救人员，加强急诊急救相关知识的培训和教育，推进我院对危急重症病人的处理能力。</w:t>
      </w:r>
    </w:p>
    <w:p>
      <w:pPr>
        <w:autoSpaceDE w:val="0"/>
        <w:autoSpaceDN w:val="0"/>
        <w:adjustRightInd w:val="0"/>
        <w:ind w:firstLine="632" w:firstLineChars="200"/>
        <w:jc w:val="left"/>
        <w:rPr>
          <w:rFonts w:hint="eastAsia" w:eastAsia="方正仿宋_GBK"/>
        </w:rPr>
      </w:pPr>
      <w:r>
        <w:rPr>
          <w:rFonts w:hint="eastAsia" w:eastAsia="方正仿宋_GBK"/>
        </w:rPr>
        <w:t>（二）重点履职绩效目标及完成情况。</w:t>
      </w:r>
    </w:p>
    <w:p>
      <w:pPr>
        <w:spacing w:line="560" w:lineRule="exact"/>
        <w:ind w:firstLine="552"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1、按照四川省病历质量控制标准的要求，严格病历质量控制，确保甲级病历率≥90%，门诊处方、病历书写合格率达≥90%，手术安全达到100%。</w:t>
      </w:r>
    </w:p>
    <w:p>
      <w:pPr>
        <w:spacing w:line="560" w:lineRule="exact"/>
        <w:ind w:firstLine="552"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2、申报市级以上科研成果立项1项，学术论文≥5篇，省级以上学术论文占到50%。</w:t>
      </w:r>
    </w:p>
    <w:p>
      <w:pPr>
        <w:spacing w:line="560" w:lineRule="exact"/>
        <w:ind w:firstLine="552"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3、开展新技术、新项目本年不少于2项。</w:t>
      </w:r>
    </w:p>
    <w:p>
      <w:pPr>
        <w:spacing w:line="560" w:lineRule="exact"/>
        <w:ind w:firstLine="552"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4、提高重大、高难度手术的比率，增加手术比例达到5%以上。提高三级和四级手术的比例。</w:t>
      </w:r>
    </w:p>
    <w:p>
      <w:pPr>
        <w:spacing w:line="560" w:lineRule="exact"/>
        <w:ind w:firstLine="552"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5、医疗纠纷的发生率占全院门诊人次比率≤0.1‰，无重大医疗事故发生。</w:t>
      </w:r>
    </w:p>
    <w:p>
      <w:pPr>
        <w:spacing w:line="560" w:lineRule="exact"/>
        <w:ind w:firstLine="552"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6、完成医护人员继续医学教育覆盖率达100%；学分合格率达85%以上。</w:t>
      </w:r>
    </w:p>
    <w:p>
      <w:pPr>
        <w:spacing w:line="560" w:lineRule="exact"/>
        <w:ind w:firstLine="552"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7、接受抗菌药物治疗的住院患者，抗菌药物使用前病原学送检率不低于50%。使用特殊使用级抗菌药物患者微生物送检率达100%。发生医院感染的患者，医院感染诊断相关病原学送检率85%以上。</w:t>
      </w:r>
    </w:p>
    <w:p>
      <w:pPr>
        <w:spacing w:line="560" w:lineRule="exact"/>
        <w:ind w:firstLine="552"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8、输血科成份输血率达65%以上。</w:t>
      </w:r>
    </w:p>
    <w:p>
      <w:pPr>
        <w:spacing w:line="560" w:lineRule="exact"/>
        <w:ind w:firstLine="552"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9、完成流感和不明原因肺炎监测项目，至少完成标本1000份，诊断符合率、采样患者的选择、送样的及时性和网络报告的及时性都能达到要求。</w:t>
      </w:r>
    </w:p>
    <w:p>
      <w:pPr>
        <w:spacing w:line="560" w:lineRule="exact"/>
        <w:ind w:firstLine="552"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10、加强单病种和临床路径管理工作，将单病种和临床路径管理作为工具，利用单病种管理的指标对医院管理质量进行考核，促进单病种和临床路径管理水平逐渐提高。将派出1-2名管理人员外出学习单病种管理和临床路径管理的方法。质控人员加强对单病种和临床路径管理的质量的检查、反馈、控制。</w:t>
      </w:r>
    </w:p>
    <w:p>
      <w:pPr>
        <w:spacing w:line="560" w:lineRule="exact"/>
        <w:ind w:firstLine="552" w:firstLineChars="200"/>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lang w:val="en-US" w:eastAsia="zh-CN"/>
        </w:rPr>
        <w:t>11、完成食源性疾病的登记报告120例和雾霾监测805854人次任务，监测质量达到要求。</w:t>
      </w:r>
    </w:p>
    <w:p>
      <w:pPr>
        <w:autoSpaceDE w:val="0"/>
        <w:autoSpaceDN w:val="0"/>
        <w:adjustRightInd w:val="0"/>
        <w:ind w:firstLine="632" w:firstLineChars="200"/>
        <w:jc w:val="left"/>
        <w:rPr>
          <w:rFonts w:hint="eastAsia" w:ascii="方正黑体_GBK" w:eastAsia="方正黑体_GBK"/>
          <w:kern w:val="0"/>
        </w:rPr>
      </w:pPr>
      <w:r>
        <w:rPr>
          <w:rFonts w:hint="eastAsia" w:ascii="方正黑体_GBK" w:eastAsia="方正黑体_GBK"/>
          <w:kern w:val="0"/>
        </w:rPr>
        <w:t>五</w:t>
      </w:r>
      <w:r>
        <w:rPr>
          <w:rFonts w:ascii="方正黑体_GBK" w:eastAsia="方正黑体_GBK"/>
          <w:kern w:val="0"/>
        </w:rPr>
        <w:t>、</w:t>
      </w:r>
      <w:r>
        <w:rPr>
          <w:rFonts w:hint="eastAsia" w:ascii="方正黑体_GBK" w:eastAsia="方正黑体_GBK"/>
          <w:kern w:val="0"/>
        </w:rPr>
        <w:t>评价结论</w:t>
      </w:r>
    </w:p>
    <w:p>
      <w:pPr>
        <w:adjustRightInd w:val="0"/>
        <w:snapToGrid w:val="0"/>
        <w:spacing w:line="560" w:lineRule="exact"/>
        <w:ind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按照打分表最后得分：96分</w:t>
      </w:r>
    </w:p>
    <w:p>
      <w:pPr>
        <w:adjustRightInd w:val="0"/>
        <w:snapToGrid w:val="0"/>
        <w:spacing w:line="560" w:lineRule="exact"/>
        <w:ind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eastAsia="zh-CN"/>
        </w:rPr>
        <w:t>（一）</w:t>
      </w:r>
      <w:r>
        <w:rPr>
          <w:rFonts w:hint="eastAsia" w:asciiTheme="minorEastAsia" w:hAnsiTheme="minorEastAsia" w:eastAsiaTheme="minorEastAsia" w:cstheme="minorEastAsia"/>
          <w:sz w:val="28"/>
          <w:szCs w:val="28"/>
        </w:rPr>
        <w:t>我院在逐步建立绩效评价与部门预算相结合的结果应用机制的使用范围扩大化，争取财政拨款项目过渡适应到医院事业支出自有项目中来，采取项目预期绩效目标申报制度，强化评价结果在部门预算编制和执行预算编制和执行中的应用，实行绩效评价结果在部门预算编制和执行中的应用，促进财政资金的合理分配与有效使用。</w:t>
      </w:r>
    </w:p>
    <w:p>
      <w:pPr>
        <w:adjustRightInd w:val="0"/>
        <w:snapToGrid w:val="0"/>
        <w:spacing w:line="560" w:lineRule="exact"/>
        <w:ind w:firstLine="552"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sz w:val="28"/>
          <w:szCs w:val="28"/>
          <w:lang w:eastAsia="zh-CN"/>
        </w:rPr>
        <w:t>（二）</w:t>
      </w:r>
      <w:r>
        <w:rPr>
          <w:rFonts w:hint="eastAsia" w:asciiTheme="minorEastAsia" w:hAnsiTheme="minorEastAsia" w:eastAsiaTheme="minorEastAsia" w:cstheme="minorEastAsia"/>
          <w:sz w:val="28"/>
          <w:szCs w:val="28"/>
        </w:rPr>
        <w:t>本单位按规定在我院门户网站公开了绩效自评的有关信息，数据真实、完整、准确。</w:t>
      </w:r>
    </w:p>
    <w:p>
      <w:pPr>
        <w:ind w:firstLine="632" w:firstLineChars="200"/>
        <w:rPr>
          <w:rFonts w:ascii="方正黑体_GBK" w:eastAsia="方正黑体_GBK"/>
          <w:kern w:val="0"/>
        </w:rPr>
      </w:pPr>
      <w:r>
        <w:rPr>
          <w:rFonts w:hint="eastAsia" w:ascii="方正黑体_GBK" w:eastAsia="方正黑体_GBK"/>
          <w:kern w:val="0"/>
        </w:rPr>
        <w:t>六、存在问题及改进措施</w:t>
      </w:r>
    </w:p>
    <w:p>
      <w:pPr>
        <w:ind w:firstLine="632" w:firstLineChars="200"/>
        <w:rPr>
          <w:rFonts w:hint="eastAsia" w:ascii="方正仿宋_GBK" w:eastAsia="方正仿宋_GBK"/>
          <w:kern w:val="0"/>
        </w:rPr>
      </w:pPr>
      <w:r>
        <w:rPr>
          <w:rFonts w:hint="eastAsia" w:ascii="方正仿宋_GBK" w:eastAsia="方正仿宋_GBK"/>
          <w:kern w:val="0"/>
        </w:rPr>
        <w:t>（一）主要问题及原因分析</w:t>
      </w:r>
    </w:p>
    <w:p>
      <w:pPr>
        <w:adjustRightInd w:val="0"/>
        <w:snapToGrid w:val="0"/>
        <w:spacing w:line="560" w:lineRule="exact"/>
        <w:ind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1.项目预算及自评工作不够精准，统筹协调不够，不能及时解决项目实施过程中存在的问题，不能确保项目实现预期目标，各相关科室对绩效评价工作的重要性认识有待进一步提高。</w:t>
      </w:r>
    </w:p>
    <w:p>
      <w:pPr>
        <w:adjustRightInd w:val="0"/>
        <w:snapToGrid w:val="0"/>
        <w:spacing w:line="560" w:lineRule="exact"/>
        <w:ind w:firstLine="552" w:firstLineChars="200"/>
        <w:rPr>
          <w:rFonts w:hint="eastAsia" w:asciiTheme="minorEastAsia" w:hAnsiTheme="minorEastAsia" w:eastAsiaTheme="minorEastAsia" w:cstheme="minorEastAsia"/>
          <w:kern w:val="0"/>
          <w:sz w:val="28"/>
          <w:szCs w:val="28"/>
        </w:rPr>
      </w:pPr>
      <w:r>
        <w:rPr>
          <w:rFonts w:hint="eastAsia" w:asciiTheme="minorEastAsia" w:hAnsiTheme="minorEastAsia" w:eastAsiaTheme="minorEastAsia" w:cstheme="minorEastAsia"/>
          <w:sz w:val="28"/>
          <w:szCs w:val="28"/>
        </w:rPr>
        <w:t>2.项目支出绩效评价指标体系不完善，项目台账资料不齐全，档案管理不规范，给考核评价及评分工作带来一定困难。</w:t>
      </w:r>
    </w:p>
    <w:p>
      <w:pPr>
        <w:ind w:firstLine="632" w:firstLineChars="200"/>
        <w:rPr>
          <w:rFonts w:ascii="方正仿宋_GBK" w:eastAsia="方正仿宋_GBK"/>
        </w:rPr>
      </w:pPr>
      <w:r>
        <w:rPr>
          <w:rFonts w:hint="eastAsia" w:ascii="方正仿宋_GBK" w:eastAsia="方正仿宋_GBK"/>
          <w:kern w:val="0"/>
        </w:rPr>
        <w:t>（二）改进方向和具体措施</w:t>
      </w:r>
    </w:p>
    <w:p>
      <w:pPr>
        <w:adjustRightInd w:val="0"/>
        <w:snapToGrid w:val="0"/>
        <w:spacing w:line="560" w:lineRule="exact"/>
        <w:ind w:firstLine="552" w:firstLineChars="20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需要落实项目责任制，要定期对项目进行追踪，对资金绩效考评进行督促落实至科室，确保绩效考评的质量达优。</w:t>
      </w:r>
    </w:p>
    <w:p>
      <w:pPr>
        <w:topLinePunct/>
        <w:rPr>
          <w:rFonts w:hint="eastAsia" w:asciiTheme="minorEastAsia" w:hAnsiTheme="minorEastAsia" w:eastAsiaTheme="minorEastAsia" w:cstheme="minorEastAsia"/>
          <w:color w:val="000000"/>
          <w:sz w:val="28"/>
          <w:szCs w:val="28"/>
        </w:rPr>
        <w:sectPr>
          <w:pgSz w:w="11906" w:h="16838"/>
          <w:pgMar w:top="2098" w:right="1531" w:bottom="1985" w:left="1531" w:header="709" w:footer="1418" w:gutter="0"/>
          <w:cols w:space="425" w:num="1"/>
          <w:docGrid w:type="linesAndChars" w:linePitch="579" w:charSpace="-849"/>
        </w:sectPr>
      </w:pPr>
    </w:p>
    <w:p>
      <w:pPr>
        <w:topLinePunct/>
        <w:jc w:val="center"/>
        <w:outlineLvl w:val="0"/>
        <w:rPr>
          <w:rStyle w:val="26"/>
          <w:rFonts w:ascii="方正黑体_GBK" w:eastAsia="方正黑体_GBK"/>
          <w:b w:val="0"/>
          <w:bCs w:val="0"/>
          <w:sz w:val="32"/>
          <w:szCs w:val="32"/>
        </w:rPr>
      </w:pPr>
      <w:bookmarkStart w:id="64" w:name="_Toc108529869"/>
      <w:r>
        <w:rPr>
          <w:rFonts w:hint="eastAsia" w:ascii="方正黑体_GBK" w:eastAsia="方正黑体_GBK"/>
          <w:color w:val="000000"/>
        </w:rPr>
        <w:t>第</w:t>
      </w:r>
      <w:r>
        <w:rPr>
          <w:rStyle w:val="26"/>
          <w:rFonts w:hint="eastAsia" w:ascii="方正黑体_GBK" w:eastAsia="方正黑体_GBK"/>
          <w:b w:val="0"/>
          <w:bCs w:val="0"/>
          <w:sz w:val="32"/>
          <w:szCs w:val="32"/>
        </w:rPr>
        <w:t>五部分 附  表</w:t>
      </w:r>
      <w:bookmarkEnd w:id="64"/>
    </w:p>
    <w:p>
      <w:pPr>
        <w:tabs>
          <w:tab w:val="left" w:pos="7584"/>
        </w:tabs>
        <w:topLinePunct/>
        <w:rPr>
          <w:rFonts w:eastAsia="方正仿宋_GBK"/>
          <w:color w:val="000000"/>
        </w:rPr>
      </w:pPr>
    </w:p>
    <w:p>
      <w:pPr>
        <w:tabs>
          <w:tab w:val="left" w:pos="7584"/>
        </w:tabs>
        <w:topLinePunct/>
        <w:outlineLvl w:val="1"/>
        <w:rPr>
          <w:rFonts w:eastAsia="方正仿宋_GBK"/>
          <w:color w:val="000000"/>
        </w:rPr>
      </w:pPr>
      <w:bookmarkStart w:id="65" w:name="_Toc108529870"/>
      <w:r>
        <w:rPr>
          <w:rFonts w:hint="eastAsia" w:eastAsia="方正仿宋_GBK"/>
          <w:color w:val="000000"/>
        </w:rPr>
        <w:t>一、收入支出决算总表</w:t>
      </w:r>
      <w:bookmarkEnd w:id="65"/>
    </w:p>
    <w:p>
      <w:pPr>
        <w:tabs>
          <w:tab w:val="left" w:pos="7584"/>
        </w:tabs>
        <w:topLinePunct/>
        <w:outlineLvl w:val="1"/>
        <w:rPr>
          <w:rFonts w:eastAsia="方正仿宋_GBK"/>
          <w:color w:val="000000"/>
        </w:rPr>
      </w:pPr>
      <w:bookmarkStart w:id="66" w:name="_Toc108529871"/>
      <w:r>
        <w:rPr>
          <w:rFonts w:hint="eastAsia" w:eastAsia="方正仿宋_GBK"/>
          <w:color w:val="000000"/>
        </w:rPr>
        <w:t>二、收入决算表</w:t>
      </w:r>
      <w:bookmarkEnd w:id="66"/>
    </w:p>
    <w:p>
      <w:pPr>
        <w:tabs>
          <w:tab w:val="left" w:pos="7584"/>
        </w:tabs>
        <w:topLinePunct/>
        <w:outlineLvl w:val="1"/>
        <w:rPr>
          <w:rFonts w:eastAsia="方正仿宋_GBK"/>
          <w:color w:val="000000"/>
        </w:rPr>
      </w:pPr>
      <w:bookmarkStart w:id="67" w:name="_Toc108529872"/>
      <w:r>
        <w:rPr>
          <w:rFonts w:hint="eastAsia" w:eastAsia="方正仿宋_GBK"/>
          <w:color w:val="000000"/>
        </w:rPr>
        <w:t>三、支出决算表</w:t>
      </w:r>
      <w:bookmarkEnd w:id="67"/>
    </w:p>
    <w:p>
      <w:pPr>
        <w:tabs>
          <w:tab w:val="left" w:pos="7584"/>
        </w:tabs>
        <w:topLinePunct/>
        <w:outlineLvl w:val="1"/>
        <w:rPr>
          <w:rFonts w:eastAsia="方正仿宋_GBK"/>
          <w:color w:val="000000"/>
        </w:rPr>
      </w:pPr>
      <w:bookmarkStart w:id="68" w:name="_Toc108529873"/>
      <w:r>
        <w:rPr>
          <w:rFonts w:hint="eastAsia" w:eastAsia="方正仿宋_GBK"/>
          <w:color w:val="000000"/>
        </w:rPr>
        <w:t>四、财政拨款收入支出决算总表</w:t>
      </w:r>
      <w:bookmarkEnd w:id="68"/>
    </w:p>
    <w:p>
      <w:pPr>
        <w:tabs>
          <w:tab w:val="left" w:pos="7584"/>
        </w:tabs>
        <w:topLinePunct/>
        <w:outlineLvl w:val="1"/>
        <w:rPr>
          <w:rFonts w:eastAsia="方正仿宋_GBK"/>
          <w:color w:val="000000"/>
        </w:rPr>
      </w:pPr>
      <w:bookmarkStart w:id="69" w:name="_Toc108529874"/>
      <w:r>
        <w:rPr>
          <w:rFonts w:hint="eastAsia" w:eastAsia="方正仿宋_GBK"/>
          <w:color w:val="000000"/>
        </w:rPr>
        <w:t>五、财政拨款支出决算明细表</w:t>
      </w:r>
      <w:bookmarkEnd w:id="69"/>
    </w:p>
    <w:p>
      <w:pPr>
        <w:tabs>
          <w:tab w:val="left" w:pos="7584"/>
        </w:tabs>
        <w:topLinePunct/>
        <w:outlineLvl w:val="1"/>
        <w:rPr>
          <w:rFonts w:eastAsia="方正仿宋_GBK"/>
          <w:color w:val="000000"/>
        </w:rPr>
      </w:pPr>
      <w:bookmarkStart w:id="70" w:name="_Toc108529875"/>
      <w:r>
        <w:rPr>
          <w:rFonts w:hint="eastAsia" w:eastAsia="方正仿宋_GBK"/>
          <w:color w:val="000000"/>
        </w:rPr>
        <w:t>六、一般公共预算财政拨款支出决算表</w:t>
      </w:r>
      <w:bookmarkEnd w:id="70"/>
    </w:p>
    <w:p>
      <w:pPr>
        <w:tabs>
          <w:tab w:val="left" w:pos="7584"/>
        </w:tabs>
        <w:topLinePunct/>
        <w:outlineLvl w:val="1"/>
        <w:rPr>
          <w:rFonts w:eastAsia="方正仿宋_GBK"/>
          <w:color w:val="000000"/>
        </w:rPr>
      </w:pPr>
      <w:bookmarkStart w:id="71" w:name="_Toc108529876"/>
      <w:r>
        <w:rPr>
          <w:rFonts w:hint="eastAsia" w:eastAsia="方正仿宋_GBK"/>
          <w:color w:val="000000"/>
        </w:rPr>
        <w:t>七、一般公共预算财政拨款支出决算明细表</w:t>
      </w:r>
      <w:bookmarkEnd w:id="71"/>
    </w:p>
    <w:p>
      <w:pPr>
        <w:tabs>
          <w:tab w:val="left" w:pos="7584"/>
        </w:tabs>
        <w:topLinePunct/>
        <w:outlineLvl w:val="1"/>
        <w:rPr>
          <w:rFonts w:eastAsia="方正仿宋_GBK"/>
          <w:color w:val="000000"/>
        </w:rPr>
      </w:pPr>
      <w:bookmarkStart w:id="72" w:name="_Toc108529877"/>
      <w:r>
        <w:rPr>
          <w:rFonts w:hint="eastAsia" w:eastAsia="方正仿宋_GBK"/>
          <w:color w:val="000000"/>
        </w:rPr>
        <w:t>八、一般公共预算财政拨款基本支出决算表</w:t>
      </w:r>
      <w:bookmarkEnd w:id="72"/>
    </w:p>
    <w:p>
      <w:pPr>
        <w:tabs>
          <w:tab w:val="left" w:pos="7584"/>
        </w:tabs>
        <w:topLinePunct/>
        <w:outlineLvl w:val="1"/>
        <w:rPr>
          <w:rFonts w:eastAsia="方正仿宋_GBK"/>
          <w:color w:val="000000"/>
        </w:rPr>
      </w:pPr>
      <w:bookmarkStart w:id="73" w:name="_Toc108529878"/>
      <w:r>
        <w:rPr>
          <w:rFonts w:hint="eastAsia" w:eastAsia="方正仿宋_GBK"/>
          <w:color w:val="000000"/>
        </w:rPr>
        <w:t>九、一般公共预算财政拨款项目支出决算表</w:t>
      </w:r>
      <w:bookmarkEnd w:id="73"/>
    </w:p>
    <w:p>
      <w:pPr>
        <w:tabs>
          <w:tab w:val="left" w:pos="7584"/>
        </w:tabs>
        <w:topLinePunct/>
        <w:outlineLvl w:val="1"/>
        <w:rPr>
          <w:rFonts w:eastAsia="方正仿宋_GBK"/>
          <w:color w:val="000000"/>
        </w:rPr>
      </w:pPr>
      <w:bookmarkStart w:id="74" w:name="_Toc108529879"/>
      <w:r>
        <w:rPr>
          <w:rFonts w:hint="eastAsia" w:eastAsia="方正仿宋_GBK"/>
          <w:color w:val="000000"/>
        </w:rPr>
        <w:t>十、一般公共预算财政拨款“三公”经费支出决算表</w:t>
      </w:r>
      <w:bookmarkEnd w:id="74"/>
    </w:p>
    <w:p>
      <w:pPr>
        <w:tabs>
          <w:tab w:val="left" w:pos="7584"/>
        </w:tabs>
        <w:topLinePunct/>
        <w:outlineLvl w:val="1"/>
        <w:rPr>
          <w:rFonts w:eastAsia="方正仿宋_GBK"/>
          <w:color w:val="000000"/>
        </w:rPr>
      </w:pPr>
      <w:bookmarkStart w:id="75" w:name="_Toc108529880"/>
      <w:r>
        <w:rPr>
          <w:rFonts w:hint="eastAsia" w:eastAsia="方正仿宋_GBK"/>
          <w:color w:val="000000"/>
        </w:rPr>
        <w:t>十一、政府性基金预算财政拨款收入支出决算表</w:t>
      </w:r>
      <w:bookmarkEnd w:id="75"/>
    </w:p>
    <w:p>
      <w:pPr>
        <w:tabs>
          <w:tab w:val="left" w:pos="7584"/>
        </w:tabs>
        <w:topLinePunct/>
        <w:outlineLvl w:val="1"/>
        <w:rPr>
          <w:rFonts w:eastAsia="方正仿宋_GBK"/>
          <w:color w:val="000000"/>
        </w:rPr>
      </w:pPr>
      <w:bookmarkStart w:id="76" w:name="_Toc108529881"/>
      <w:r>
        <w:rPr>
          <w:rFonts w:hint="eastAsia" w:eastAsia="方正仿宋_GBK"/>
          <w:color w:val="000000"/>
        </w:rPr>
        <w:t>十二、政府性基金预算财政拨款“三公”经费支出决算表</w:t>
      </w:r>
      <w:bookmarkEnd w:id="76"/>
    </w:p>
    <w:p>
      <w:pPr>
        <w:tabs>
          <w:tab w:val="left" w:pos="7584"/>
        </w:tabs>
        <w:topLinePunct/>
        <w:outlineLvl w:val="1"/>
        <w:rPr>
          <w:rFonts w:eastAsia="方正仿宋_GBK"/>
          <w:color w:val="000000"/>
        </w:rPr>
      </w:pPr>
      <w:bookmarkStart w:id="77" w:name="_Toc108529882"/>
      <w:r>
        <w:rPr>
          <w:rFonts w:hint="eastAsia" w:eastAsia="方正仿宋_GBK"/>
          <w:color w:val="000000"/>
        </w:rPr>
        <w:t>十三、国有资本经营</w:t>
      </w:r>
      <w:r>
        <w:rPr>
          <w:rFonts w:hint="eastAsia" w:eastAsia="方正仿宋_GBK"/>
          <w:color w:val="000000" w:themeColor="text1"/>
          <w14:textFill>
            <w14:solidFill>
              <w14:schemeClr w14:val="tx1"/>
            </w14:solidFill>
          </w14:textFill>
        </w:rPr>
        <w:t>预算收入支出</w:t>
      </w:r>
      <w:r>
        <w:rPr>
          <w:rFonts w:hint="eastAsia" w:eastAsia="方正仿宋_GBK"/>
          <w:color w:val="000000"/>
        </w:rPr>
        <w:t>决算表</w:t>
      </w:r>
      <w:bookmarkEnd w:id="77"/>
    </w:p>
    <w:p>
      <w:pPr>
        <w:tabs>
          <w:tab w:val="left" w:pos="7584"/>
        </w:tabs>
        <w:topLinePunct/>
        <w:outlineLvl w:val="1"/>
        <w:rPr>
          <w:rFonts w:eastAsia="方正仿宋_GBK"/>
          <w:color w:val="000000"/>
        </w:rPr>
      </w:pPr>
      <w:bookmarkStart w:id="78" w:name="_Toc108529883"/>
      <w:r>
        <w:rPr>
          <w:rFonts w:hint="eastAsia" w:eastAsia="方正仿宋_GBK"/>
          <w:color w:val="000000"/>
        </w:rPr>
        <w:t>十四、国有资本经营预算财政拨款支出决算表</w:t>
      </w:r>
      <w:bookmarkEnd w:id="78"/>
    </w:p>
    <w:p>
      <w:pPr>
        <w:tabs>
          <w:tab w:val="left" w:pos="7584"/>
        </w:tabs>
        <w:topLinePunct/>
        <w:rPr>
          <w:rFonts w:eastAsia="方正仿宋_GBK"/>
          <w:color w:val="000000"/>
        </w:rPr>
      </w:pPr>
    </w:p>
    <w:p>
      <w:pPr>
        <w:tabs>
          <w:tab w:val="left" w:pos="7584"/>
        </w:tabs>
        <w:topLinePunct/>
        <w:rPr>
          <w:rFonts w:eastAsia="方正仿宋_GBK"/>
          <w:color w:val="000000"/>
        </w:rPr>
      </w:pPr>
    </w:p>
    <w:sectPr>
      <w:pgSz w:w="11906" w:h="16838"/>
      <w:pgMar w:top="2098" w:right="1531" w:bottom="1985" w:left="1531" w:header="709" w:footer="1418"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方正仿宋">
    <w:altName w:val="Arial Unicode MS"/>
    <w:panose1 w:val="00000000000000000000"/>
    <w:charset w:val="86"/>
    <w:family w:val="script"/>
    <w:pitch w:val="default"/>
    <w:sig w:usb0="00000000" w:usb1="00000000" w:usb2="00000010" w:usb3="00000000" w:csb0="00040000" w:csb1="00000000"/>
  </w:font>
  <w:font w:name="Cambria">
    <w:panose1 w:val="020405030504060A0204"/>
    <w:charset w:val="00"/>
    <w:family w:val="roman"/>
    <w:pitch w:val="default"/>
    <w:sig w:usb0="A00002EF" w:usb1="4000004B" w:usb2="00000000" w:usb3="00000000" w:csb0="2000009F" w:csb1="00000000"/>
  </w:font>
  <w:font w:name="仿宋_GB2312">
    <w:altName w:val="仿宋"/>
    <w:panose1 w:val="02010609030101010101"/>
    <w:charset w:val="86"/>
    <w:family w:val="modern"/>
    <w:pitch w:val="default"/>
    <w:sig w:usb0="00000000" w:usb1="00000000" w:usb2="00000010" w:usb3="00000000" w:csb0="00040000" w:csb1="00000000"/>
  </w:font>
  <w:font w:name="方正黑体_GBK">
    <w:altName w:val="Arial Unicode MS"/>
    <w:panose1 w:val="03000509000000000000"/>
    <w:charset w:val="86"/>
    <w:family w:val="script"/>
    <w:pitch w:val="default"/>
    <w:sig w:usb0="00000000" w:usb1="00000000" w:usb2="00000010" w:usb3="00000000" w:csb0="00040000" w:csb1="00000000"/>
  </w:font>
  <w:font w:name="Verdana">
    <w:panose1 w:val="020B0604030504040204"/>
    <w:charset w:val="00"/>
    <w:family w:val="swiss"/>
    <w:pitch w:val="default"/>
    <w:sig w:usb0="A10006FF" w:usb1="4000205B" w:usb2="00000010" w:usb3="00000000" w:csb0="2000019F" w:csb1="00000000"/>
  </w:font>
  <w:font w:name="仿宋">
    <w:panose1 w:val="02010609060101010101"/>
    <w:charset w:val="86"/>
    <w:family w:val="modern"/>
    <w:pitch w:val="default"/>
    <w:sig w:usb0="800002BF" w:usb1="38CF7CFA" w:usb2="00000016" w:usb3="00000000" w:csb0="00040001" w:csb1="00000000"/>
  </w:font>
  <w:font w:name="方正小标宋_GBK">
    <w:altName w:val="Arial Unicode MS"/>
    <w:panose1 w:val="03000509000000000000"/>
    <w:charset w:val="86"/>
    <w:family w:val="script"/>
    <w:pitch w:val="default"/>
    <w:sig w:usb0="00000000" w:usb1="00000000" w:usb2="00000010" w:usb3="00000000" w:csb0="00040000" w:csb1="00000000"/>
  </w:font>
  <w:font w:name="方正小标宋简体">
    <w:altName w:val="Arial Unicode MS"/>
    <w:panose1 w:val="02010601030101010101"/>
    <w:charset w:val="86"/>
    <w:family w:val="auto"/>
    <w:pitch w:val="default"/>
    <w:sig w:usb0="00000000" w:usb1="00000000" w:usb2="00000010" w:usb3="00000000" w:csb0="00040000" w:csb1="00000000"/>
  </w:font>
  <w:font w:name="方正仿宋_GBK">
    <w:altName w:val="Arial Unicode MS"/>
    <w:panose1 w:val="03000509000000000000"/>
    <w:charset w:val="86"/>
    <w:family w:val="script"/>
    <w:pitch w:val="default"/>
    <w:sig w:usb0="00000000" w:usb1="00000000" w:usb2="00000010" w:usb3="00000000" w:csb0="00040000" w:csb1="00000000"/>
  </w:font>
  <w:font w:name="方正楷体_GBK">
    <w:altName w:val="Arial Unicode MS"/>
    <w:panose1 w:val="03000509000000000000"/>
    <w:charset w:val="86"/>
    <w:family w:val="script"/>
    <w:pitch w:val="default"/>
    <w:sig w:usb0="00000000" w:usb1="00000000" w:usb2="00000010" w:usb3="00000000" w:csb0="00040000" w:csb1="00000000"/>
  </w:font>
  <w:font w:name="方正黑体">
    <w:altName w:val="Arial Unicode MS"/>
    <w:panose1 w:val="00000000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uto" w:vAnchor="text" w:hAnchor="margin" w:xAlign="outside" w:y="1"/>
      <w:rPr>
        <w:rStyle w:val="23"/>
        <w:rFonts w:ascii="宋体" w:hAnsi="宋体" w:eastAsia="宋体"/>
        <w:sz w:val="28"/>
        <w:szCs w:val="28"/>
      </w:rPr>
    </w:pPr>
    <w:r>
      <w:rPr>
        <w:rStyle w:val="23"/>
        <w:rFonts w:ascii="宋体" w:hAnsi="宋体" w:eastAsia="宋体"/>
        <w:sz w:val="28"/>
        <w:szCs w:val="28"/>
      </w:rPr>
      <w:t xml:space="preserve">— </w:t>
    </w:r>
    <w:r>
      <w:rPr>
        <w:rStyle w:val="23"/>
        <w:rFonts w:ascii="宋体" w:hAnsi="宋体" w:eastAsia="宋体"/>
        <w:sz w:val="28"/>
        <w:szCs w:val="28"/>
      </w:rPr>
      <w:fldChar w:fldCharType="begin"/>
    </w:r>
    <w:r>
      <w:rPr>
        <w:rStyle w:val="23"/>
        <w:rFonts w:ascii="宋体" w:hAnsi="宋体" w:eastAsia="宋体"/>
        <w:sz w:val="28"/>
        <w:szCs w:val="28"/>
      </w:rPr>
      <w:instrText xml:space="preserve">PAGE  </w:instrText>
    </w:r>
    <w:r>
      <w:rPr>
        <w:rStyle w:val="23"/>
        <w:rFonts w:ascii="宋体" w:hAnsi="宋体" w:eastAsia="宋体"/>
        <w:sz w:val="28"/>
        <w:szCs w:val="28"/>
      </w:rPr>
      <w:fldChar w:fldCharType="separate"/>
    </w:r>
    <w:r>
      <w:rPr>
        <w:rStyle w:val="23"/>
        <w:rFonts w:ascii="宋体" w:hAnsi="宋体" w:eastAsia="宋体"/>
        <w:sz w:val="28"/>
        <w:szCs w:val="28"/>
      </w:rPr>
      <w:t>23</w:t>
    </w:r>
    <w:r>
      <w:rPr>
        <w:rStyle w:val="23"/>
        <w:rFonts w:ascii="宋体" w:hAnsi="宋体" w:eastAsia="宋体"/>
        <w:sz w:val="28"/>
        <w:szCs w:val="28"/>
      </w:rPr>
      <w:fldChar w:fldCharType="end"/>
    </w:r>
    <w:r>
      <w:rPr>
        <w:rStyle w:val="23"/>
        <w:rFonts w:ascii="宋体" w:hAnsi="宋体" w:eastAsia="宋体"/>
        <w:sz w:val="28"/>
        <w:szCs w:val="28"/>
      </w:rPr>
      <w:t xml:space="preserve"> —</w:t>
    </w:r>
  </w:p>
  <w:p>
    <w:pPr>
      <w:pStyle w:val="12"/>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framePr w:wrap="auto" w:vAnchor="text" w:hAnchor="margin" w:xAlign="outside" w:y="1"/>
      <w:rPr>
        <w:rStyle w:val="23"/>
        <w:rFonts w:ascii="宋体" w:hAnsi="宋体" w:eastAsia="宋体"/>
        <w:sz w:val="28"/>
        <w:szCs w:val="28"/>
      </w:rPr>
    </w:pPr>
    <w:r>
      <w:rPr>
        <w:rStyle w:val="23"/>
        <w:rFonts w:ascii="宋体" w:hAnsi="宋体" w:eastAsia="宋体"/>
        <w:sz w:val="28"/>
        <w:szCs w:val="28"/>
      </w:rPr>
      <w:t xml:space="preserve">— </w:t>
    </w:r>
    <w:r>
      <w:rPr>
        <w:rStyle w:val="23"/>
        <w:rFonts w:ascii="宋体" w:hAnsi="宋体" w:eastAsia="宋体"/>
        <w:sz w:val="28"/>
        <w:szCs w:val="28"/>
      </w:rPr>
      <w:fldChar w:fldCharType="begin"/>
    </w:r>
    <w:r>
      <w:rPr>
        <w:rStyle w:val="23"/>
        <w:rFonts w:ascii="宋体" w:hAnsi="宋体" w:eastAsia="宋体"/>
        <w:sz w:val="28"/>
        <w:szCs w:val="28"/>
      </w:rPr>
      <w:instrText xml:space="preserve">PAGE  </w:instrText>
    </w:r>
    <w:r>
      <w:rPr>
        <w:rStyle w:val="23"/>
        <w:rFonts w:ascii="宋体" w:hAnsi="宋体" w:eastAsia="宋体"/>
        <w:sz w:val="28"/>
        <w:szCs w:val="28"/>
      </w:rPr>
      <w:fldChar w:fldCharType="separate"/>
    </w:r>
    <w:r>
      <w:rPr>
        <w:rStyle w:val="23"/>
        <w:rFonts w:ascii="宋体" w:hAnsi="宋体" w:eastAsia="宋体"/>
        <w:sz w:val="28"/>
        <w:szCs w:val="28"/>
      </w:rPr>
      <w:t>24</w:t>
    </w:r>
    <w:r>
      <w:rPr>
        <w:rStyle w:val="23"/>
        <w:rFonts w:ascii="宋体" w:hAnsi="宋体" w:eastAsia="宋体"/>
        <w:sz w:val="28"/>
        <w:szCs w:val="28"/>
      </w:rPr>
      <w:fldChar w:fldCharType="end"/>
    </w:r>
    <w:r>
      <w:rPr>
        <w:rStyle w:val="23"/>
        <w:rFonts w:ascii="宋体" w:hAnsi="宋体" w:eastAsia="宋体"/>
        <w:sz w:val="28"/>
        <w:szCs w:val="28"/>
      </w:rPr>
      <w:t xml:space="preserve"> —</w:t>
    </w:r>
  </w:p>
  <w:p>
    <w:pPr>
      <w:pStyle w:val="12"/>
      <w:ind w:right="360" w:firstLine="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471B2EE"/>
    <w:multiLevelType w:val="singleLevel"/>
    <w:tmpl w:val="B471B2EE"/>
    <w:lvl w:ilvl="0" w:tentative="0">
      <w:start w:val="2"/>
      <w:numFmt w:val="decimal"/>
      <w:lvlText w:val="%1."/>
      <w:lvlJc w:val="left"/>
      <w:pPr>
        <w:tabs>
          <w:tab w:val="left" w:pos="312"/>
        </w:tabs>
      </w:pPr>
    </w:lvl>
  </w:abstractNum>
  <w:abstractNum w:abstractNumId="1">
    <w:nsid w:val="D79823EA"/>
    <w:multiLevelType w:val="singleLevel"/>
    <w:tmpl w:val="D79823EA"/>
    <w:lvl w:ilvl="0" w:tentative="0">
      <w:start w:val="3"/>
      <w:numFmt w:val="chineseCounting"/>
      <w:suff w:val="nothing"/>
      <w:lvlText w:val="（%1）"/>
      <w:lvlJc w:val="left"/>
      <w:rPr>
        <w:rFonts w:hint="eastAsia"/>
      </w:rPr>
    </w:lvl>
  </w:abstractNum>
  <w:abstractNum w:abstractNumId="2">
    <w:nsid w:val="1DECCD1A"/>
    <w:multiLevelType w:val="singleLevel"/>
    <w:tmpl w:val="1DECCD1A"/>
    <w:lvl w:ilvl="0" w:tentative="0">
      <w:start w:val="7"/>
      <w:numFmt w:val="chineseCounting"/>
      <w:suff w:val="space"/>
      <w:lvlText w:val="%1、"/>
      <w:lvlJc w:val="left"/>
      <w:rPr>
        <w:rFonts w:hint="eastAsia"/>
      </w:rPr>
    </w:lvl>
  </w:abstractNum>
  <w:abstractNum w:abstractNumId="3">
    <w:nsid w:val="35A7D490"/>
    <w:multiLevelType w:val="singleLevel"/>
    <w:tmpl w:val="35A7D490"/>
    <w:lvl w:ilvl="0" w:tentative="0">
      <w:start w:val="2"/>
      <w:numFmt w:val="chineseCounting"/>
      <w:suff w:val="nothing"/>
      <w:lvlText w:val="（%1）"/>
      <w:lvlJc w:val="left"/>
      <w:rPr>
        <w:rFonts w:hint="eastAsia"/>
      </w:rPr>
    </w:lvl>
  </w:abstractNum>
  <w:abstractNum w:abstractNumId="4">
    <w:nsid w:val="5FD998D3"/>
    <w:multiLevelType w:val="singleLevel"/>
    <w:tmpl w:val="5FD998D3"/>
    <w:lvl w:ilvl="0" w:tentative="0">
      <w:start w:val="1"/>
      <w:numFmt w:val="decimal"/>
      <w:lvlText w:val="%1)"/>
      <w:lvlJc w:val="left"/>
      <w:pPr>
        <w:ind w:left="425" w:hanging="425"/>
      </w:pPr>
      <w:rPr>
        <w:rFonts w:hint="default"/>
      </w:r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oNotHyphenateCaps/>
  <w:evenAndOddHeaders w:val="1"/>
  <w:drawingGridHorizontalSpacing w:val="158"/>
  <w:drawingGridVerticalSpacing w:val="579"/>
  <w:displayHorizontalDrawingGridEvery w:val="0"/>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6EE2"/>
    <w:rsid w:val="00000AB1"/>
    <w:rsid w:val="00001C79"/>
    <w:rsid w:val="00004981"/>
    <w:rsid w:val="0000582D"/>
    <w:rsid w:val="00010233"/>
    <w:rsid w:val="000140F9"/>
    <w:rsid w:val="000151F4"/>
    <w:rsid w:val="00015715"/>
    <w:rsid w:val="00030A3F"/>
    <w:rsid w:val="000326C7"/>
    <w:rsid w:val="000364AD"/>
    <w:rsid w:val="00042F71"/>
    <w:rsid w:val="00046D69"/>
    <w:rsid w:val="000530BA"/>
    <w:rsid w:val="00055950"/>
    <w:rsid w:val="00060582"/>
    <w:rsid w:val="00065BAB"/>
    <w:rsid w:val="00066415"/>
    <w:rsid w:val="00072774"/>
    <w:rsid w:val="000729F0"/>
    <w:rsid w:val="00072E20"/>
    <w:rsid w:val="00076745"/>
    <w:rsid w:val="00077056"/>
    <w:rsid w:val="00080D61"/>
    <w:rsid w:val="00081C11"/>
    <w:rsid w:val="0008427A"/>
    <w:rsid w:val="000843CF"/>
    <w:rsid w:val="0008486E"/>
    <w:rsid w:val="00087482"/>
    <w:rsid w:val="00091E41"/>
    <w:rsid w:val="00091FB9"/>
    <w:rsid w:val="000932B2"/>
    <w:rsid w:val="0009340E"/>
    <w:rsid w:val="000A25D3"/>
    <w:rsid w:val="000B2DC9"/>
    <w:rsid w:val="000B62D3"/>
    <w:rsid w:val="000C1D84"/>
    <w:rsid w:val="000C4ACB"/>
    <w:rsid w:val="000D0D0B"/>
    <w:rsid w:val="000D3B76"/>
    <w:rsid w:val="000D68E3"/>
    <w:rsid w:val="000D72E0"/>
    <w:rsid w:val="000F3C6A"/>
    <w:rsid w:val="000F5C63"/>
    <w:rsid w:val="001005D7"/>
    <w:rsid w:val="00102D40"/>
    <w:rsid w:val="00102F3B"/>
    <w:rsid w:val="0010689A"/>
    <w:rsid w:val="00106C93"/>
    <w:rsid w:val="00106D5A"/>
    <w:rsid w:val="001163D8"/>
    <w:rsid w:val="00122AE6"/>
    <w:rsid w:val="00124502"/>
    <w:rsid w:val="00131AE0"/>
    <w:rsid w:val="001346B0"/>
    <w:rsid w:val="00134742"/>
    <w:rsid w:val="001357F0"/>
    <w:rsid w:val="00146E3C"/>
    <w:rsid w:val="00150B63"/>
    <w:rsid w:val="001544C9"/>
    <w:rsid w:val="001559FE"/>
    <w:rsid w:val="00156C6F"/>
    <w:rsid w:val="001639A0"/>
    <w:rsid w:val="00164EB4"/>
    <w:rsid w:val="0016584B"/>
    <w:rsid w:val="00172020"/>
    <w:rsid w:val="0017224D"/>
    <w:rsid w:val="0017361B"/>
    <w:rsid w:val="00175876"/>
    <w:rsid w:val="001768AB"/>
    <w:rsid w:val="00182562"/>
    <w:rsid w:val="00182CCC"/>
    <w:rsid w:val="001854A6"/>
    <w:rsid w:val="00190B93"/>
    <w:rsid w:val="00191D3C"/>
    <w:rsid w:val="00195166"/>
    <w:rsid w:val="001A0E71"/>
    <w:rsid w:val="001A15C4"/>
    <w:rsid w:val="001A478A"/>
    <w:rsid w:val="001A4B39"/>
    <w:rsid w:val="001A67A0"/>
    <w:rsid w:val="001B1FD8"/>
    <w:rsid w:val="001B2AC7"/>
    <w:rsid w:val="001B3A06"/>
    <w:rsid w:val="001B5455"/>
    <w:rsid w:val="001C1B96"/>
    <w:rsid w:val="001C22C5"/>
    <w:rsid w:val="001C5500"/>
    <w:rsid w:val="001D22B5"/>
    <w:rsid w:val="001D5EBF"/>
    <w:rsid w:val="001D625F"/>
    <w:rsid w:val="001E29B9"/>
    <w:rsid w:val="001E4B51"/>
    <w:rsid w:val="001E4C44"/>
    <w:rsid w:val="001E6901"/>
    <w:rsid w:val="001E770D"/>
    <w:rsid w:val="001E7D73"/>
    <w:rsid w:val="001F6BEE"/>
    <w:rsid w:val="00200ED4"/>
    <w:rsid w:val="00201E2C"/>
    <w:rsid w:val="00203D9E"/>
    <w:rsid w:val="0020724E"/>
    <w:rsid w:val="00207860"/>
    <w:rsid w:val="00211805"/>
    <w:rsid w:val="00215D9B"/>
    <w:rsid w:val="00230E0F"/>
    <w:rsid w:val="00231C61"/>
    <w:rsid w:val="00233002"/>
    <w:rsid w:val="00234CB5"/>
    <w:rsid w:val="002423AA"/>
    <w:rsid w:val="00244F59"/>
    <w:rsid w:val="00245150"/>
    <w:rsid w:val="00245DF3"/>
    <w:rsid w:val="00246C43"/>
    <w:rsid w:val="00246D03"/>
    <w:rsid w:val="00247335"/>
    <w:rsid w:val="00247790"/>
    <w:rsid w:val="00250A18"/>
    <w:rsid w:val="00250A47"/>
    <w:rsid w:val="00251134"/>
    <w:rsid w:val="00253788"/>
    <w:rsid w:val="002552C0"/>
    <w:rsid w:val="002577F1"/>
    <w:rsid w:val="0026001A"/>
    <w:rsid w:val="002668FC"/>
    <w:rsid w:val="00266FA2"/>
    <w:rsid w:val="002710A4"/>
    <w:rsid w:val="0027279A"/>
    <w:rsid w:val="00273D02"/>
    <w:rsid w:val="0027645F"/>
    <w:rsid w:val="00285BD1"/>
    <w:rsid w:val="00291CD2"/>
    <w:rsid w:val="0029205F"/>
    <w:rsid w:val="00295E1E"/>
    <w:rsid w:val="002A0B12"/>
    <w:rsid w:val="002A12C3"/>
    <w:rsid w:val="002A1ACD"/>
    <w:rsid w:val="002A31CA"/>
    <w:rsid w:val="002A58C8"/>
    <w:rsid w:val="002A6F3C"/>
    <w:rsid w:val="002B4647"/>
    <w:rsid w:val="002B4933"/>
    <w:rsid w:val="002B59A6"/>
    <w:rsid w:val="002B675D"/>
    <w:rsid w:val="002B6BCF"/>
    <w:rsid w:val="002B6D64"/>
    <w:rsid w:val="002C474C"/>
    <w:rsid w:val="002C4CB5"/>
    <w:rsid w:val="002C6128"/>
    <w:rsid w:val="002C6557"/>
    <w:rsid w:val="002D1538"/>
    <w:rsid w:val="002D34C0"/>
    <w:rsid w:val="002D446C"/>
    <w:rsid w:val="002D5561"/>
    <w:rsid w:val="002D6465"/>
    <w:rsid w:val="002E7A1F"/>
    <w:rsid w:val="002F3228"/>
    <w:rsid w:val="002F3558"/>
    <w:rsid w:val="002F3D28"/>
    <w:rsid w:val="00302529"/>
    <w:rsid w:val="00316C5F"/>
    <w:rsid w:val="00317260"/>
    <w:rsid w:val="00320341"/>
    <w:rsid w:val="00324DCA"/>
    <w:rsid w:val="00324E70"/>
    <w:rsid w:val="00325631"/>
    <w:rsid w:val="00326DF4"/>
    <w:rsid w:val="0033011A"/>
    <w:rsid w:val="003302CC"/>
    <w:rsid w:val="00333F03"/>
    <w:rsid w:val="00336DB0"/>
    <w:rsid w:val="00337CEF"/>
    <w:rsid w:val="00350D97"/>
    <w:rsid w:val="0035525E"/>
    <w:rsid w:val="00355CE8"/>
    <w:rsid w:val="0035638E"/>
    <w:rsid w:val="00356EB3"/>
    <w:rsid w:val="003623F5"/>
    <w:rsid w:val="00366733"/>
    <w:rsid w:val="00366D34"/>
    <w:rsid w:val="003702C8"/>
    <w:rsid w:val="0037253D"/>
    <w:rsid w:val="00372DE4"/>
    <w:rsid w:val="00372ED2"/>
    <w:rsid w:val="00375815"/>
    <w:rsid w:val="00375B3E"/>
    <w:rsid w:val="00383280"/>
    <w:rsid w:val="0038402E"/>
    <w:rsid w:val="00386E05"/>
    <w:rsid w:val="0039190C"/>
    <w:rsid w:val="00391E2C"/>
    <w:rsid w:val="0039240E"/>
    <w:rsid w:val="003933A5"/>
    <w:rsid w:val="003963A6"/>
    <w:rsid w:val="00397C4C"/>
    <w:rsid w:val="003A031C"/>
    <w:rsid w:val="003A0A69"/>
    <w:rsid w:val="003A1BFD"/>
    <w:rsid w:val="003A3A1A"/>
    <w:rsid w:val="003A3EBE"/>
    <w:rsid w:val="003A4C46"/>
    <w:rsid w:val="003A4E48"/>
    <w:rsid w:val="003A7034"/>
    <w:rsid w:val="003B1406"/>
    <w:rsid w:val="003B3CC7"/>
    <w:rsid w:val="003B47B3"/>
    <w:rsid w:val="003B4B33"/>
    <w:rsid w:val="003C6EBB"/>
    <w:rsid w:val="003D0278"/>
    <w:rsid w:val="003D0F5A"/>
    <w:rsid w:val="003E605B"/>
    <w:rsid w:val="003E614E"/>
    <w:rsid w:val="003F0C5D"/>
    <w:rsid w:val="003F1B60"/>
    <w:rsid w:val="003F1F8F"/>
    <w:rsid w:val="003F2FC8"/>
    <w:rsid w:val="003F4ED4"/>
    <w:rsid w:val="003F7C4B"/>
    <w:rsid w:val="00413F9E"/>
    <w:rsid w:val="00413FD3"/>
    <w:rsid w:val="004166E9"/>
    <w:rsid w:val="00420865"/>
    <w:rsid w:val="00424360"/>
    <w:rsid w:val="00425513"/>
    <w:rsid w:val="00426EE2"/>
    <w:rsid w:val="00427989"/>
    <w:rsid w:val="00430185"/>
    <w:rsid w:val="00432150"/>
    <w:rsid w:val="00433D17"/>
    <w:rsid w:val="00440D13"/>
    <w:rsid w:val="004413A4"/>
    <w:rsid w:val="00444FAB"/>
    <w:rsid w:val="00452E29"/>
    <w:rsid w:val="00453248"/>
    <w:rsid w:val="00457D25"/>
    <w:rsid w:val="00460D75"/>
    <w:rsid w:val="00462996"/>
    <w:rsid w:val="00462BD9"/>
    <w:rsid w:val="00463166"/>
    <w:rsid w:val="00464D4C"/>
    <w:rsid w:val="00471C95"/>
    <w:rsid w:val="004725C1"/>
    <w:rsid w:val="0047525C"/>
    <w:rsid w:val="004754ED"/>
    <w:rsid w:val="00477735"/>
    <w:rsid w:val="0048011D"/>
    <w:rsid w:val="00480E61"/>
    <w:rsid w:val="00485B8B"/>
    <w:rsid w:val="00486323"/>
    <w:rsid w:val="004872EC"/>
    <w:rsid w:val="00487BB7"/>
    <w:rsid w:val="00490E38"/>
    <w:rsid w:val="00494DB2"/>
    <w:rsid w:val="004953F7"/>
    <w:rsid w:val="004954A7"/>
    <w:rsid w:val="004958C7"/>
    <w:rsid w:val="004A27D7"/>
    <w:rsid w:val="004B0409"/>
    <w:rsid w:val="004B19FF"/>
    <w:rsid w:val="004B3233"/>
    <w:rsid w:val="004B521E"/>
    <w:rsid w:val="004B5C0E"/>
    <w:rsid w:val="004C51C6"/>
    <w:rsid w:val="004D26C4"/>
    <w:rsid w:val="004D3A08"/>
    <w:rsid w:val="004D3B2A"/>
    <w:rsid w:val="004D5AD2"/>
    <w:rsid w:val="004D66B9"/>
    <w:rsid w:val="004E11FA"/>
    <w:rsid w:val="004E548A"/>
    <w:rsid w:val="004E6A6F"/>
    <w:rsid w:val="00500463"/>
    <w:rsid w:val="00503577"/>
    <w:rsid w:val="0050470D"/>
    <w:rsid w:val="005060E8"/>
    <w:rsid w:val="00507D64"/>
    <w:rsid w:val="00511142"/>
    <w:rsid w:val="00513AD3"/>
    <w:rsid w:val="005177E4"/>
    <w:rsid w:val="00520A2E"/>
    <w:rsid w:val="00520AE5"/>
    <w:rsid w:val="00520CDB"/>
    <w:rsid w:val="00521421"/>
    <w:rsid w:val="00524316"/>
    <w:rsid w:val="005332DB"/>
    <w:rsid w:val="005413BF"/>
    <w:rsid w:val="0054636B"/>
    <w:rsid w:val="00550BA4"/>
    <w:rsid w:val="00551CDF"/>
    <w:rsid w:val="005530AA"/>
    <w:rsid w:val="005573FD"/>
    <w:rsid w:val="00557CEB"/>
    <w:rsid w:val="0056516C"/>
    <w:rsid w:val="005664AE"/>
    <w:rsid w:val="00567177"/>
    <w:rsid w:val="00567CD1"/>
    <w:rsid w:val="00570A07"/>
    <w:rsid w:val="00570A9A"/>
    <w:rsid w:val="00571F9F"/>
    <w:rsid w:val="00576DE5"/>
    <w:rsid w:val="0058331F"/>
    <w:rsid w:val="00585BA4"/>
    <w:rsid w:val="00586023"/>
    <w:rsid w:val="005875C6"/>
    <w:rsid w:val="00587B50"/>
    <w:rsid w:val="005907F7"/>
    <w:rsid w:val="00591DDA"/>
    <w:rsid w:val="0059635A"/>
    <w:rsid w:val="005A2B8E"/>
    <w:rsid w:val="005A2D6B"/>
    <w:rsid w:val="005A3530"/>
    <w:rsid w:val="005A6147"/>
    <w:rsid w:val="005B38D6"/>
    <w:rsid w:val="005B5754"/>
    <w:rsid w:val="005B7358"/>
    <w:rsid w:val="005B781E"/>
    <w:rsid w:val="005B7AEE"/>
    <w:rsid w:val="005C14DE"/>
    <w:rsid w:val="005C29D5"/>
    <w:rsid w:val="005C2A77"/>
    <w:rsid w:val="005D323F"/>
    <w:rsid w:val="005D4946"/>
    <w:rsid w:val="005D4BDC"/>
    <w:rsid w:val="005D6612"/>
    <w:rsid w:val="005D723C"/>
    <w:rsid w:val="005E0109"/>
    <w:rsid w:val="005E0207"/>
    <w:rsid w:val="005E7B76"/>
    <w:rsid w:val="005F1B01"/>
    <w:rsid w:val="005F262C"/>
    <w:rsid w:val="005F2ADC"/>
    <w:rsid w:val="00601B1B"/>
    <w:rsid w:val="006073C2"/>
    <w:rsid w:val="0061453D"/>
    <w:rsid w:val="0061547F"/>
    <w:rsid w:val="00615A08"/>
    <w:rsid w:val="00620D57"/>
    <w:rsid w:val="00620FA8"/>
    <w:rsid w:val="00621189"/>
    <w:rsid w:val="0062300F"/>
    <w:rsid w:val="00624A12"/>
    <w:rsid w:val="00625D7C"/>
    <w:rsid w:val="0063422E"/>
    <w:rsid w:val="0063496B"/>
    <w:rsid w:val="00641B1C"/>
    <w:rsid w:val="00642036"/>
    <w:rsid w:val="00647258"/>
    <w:rsid w:val="00647CCC"/>
    <w:rsid w:val="00654949"/>
    <w:rsid w:val="00654E8C"/>
    <w:rsid w:val="00656CD8"/>
    <w:rsid w:val="00660A58"/>
    <w:rsid w:val="006672C9"/>
    <w:rsid w:val="0067269B"/>
    <w:rsid w:val="006835F2"/>
    <w:rsid w:val="006840B6"/>
    <w:rsid w:val="00686B37"/>
    <w:rsid w:val="006874D4"/>
    <w:rsid w:val="00693838"/>
    <w:rsid w:val="00693DB1"/>
    <w:rsid w:val="006947B1"/>
    <w:rsid w:val="00697204"/>
    <w:rsid w:val="006A6075"/>
    <w:rsid w:val="006A7580"/>
    <w:rsid w:val="006B009F"/>
    <w:rsid w:val="006B12E8"/>
    <w:rsid w:val="006B16FF"/>
    <w:rsid w:val="006B2429"/>
    <w:rsid w:val="006B4726"/>
    <w:rsid w:val="006B4734"/>
    <w:rsid w:val="006B5E0F"/>
    <w:rsid w:val="006B6427"/>
    <w:rsid w:val="006C2EB3"/>
    <w:rsid w:val="006D2600"/>
    <w:rsid w:val="006E1522"/>
    <w:rsid w:val="006E4E7C"/>
    <w:rsid w:val="006F1307"/>
    <w:rsid w:val="006F24BD"/>
    <w:rsid w:val="006F389B"/>
    <w:rsid w:val="006F44C0"/>
    <w:rsid w:val="006F4E2E"/>
    <w:rsid w:val="006F4F67"/>
    <w:rsid w:val="006F756F"/>
    <w:rsid w:val="006F7E10"/>
    <w:rsid w:val="0070029F"/>
    <w:rsid w:val="00703CC7"/>
    <w:rsid w:val="007057B0"/>
    <w:rsid w:val="00707AB3"/>
    <w:rsid w:val="007102F3"/>
    <w:rsid w:val="00710BCC"/>
    <w:rsid w:val="007130FC"/>
    <w:rsid w:val="007159B3"/>
    <w:rsid w:val="00715C5D"/>
    <w:rsid w:val="00715C68"/>
    <w:rsid w:val="00720144"/>
    <w:rsid w:val="007229AA"/>
    <w:rsid w:val="00725550"/>
    <w:rsid w:val="0072587F"/>
    <w:rsid w:val="00725C99"/>
    <w:rsid w:val="00731DF4"/>
    <w:rsid w:val="00733241"/>
    <w:rsid w:val="0073424E"/>
    <w:rsid w:val="007344F4"/>
    <w:rsid w:val="00735079"/>
    <w:rsid w:val="00735630"/>
    <w:rsid w:val="0073592C"/>
    <w:rsid w:val="00740053"/>
    <w:rsid w:val="007412E6"/>
    <w:rsid w:val="00745ACA"/>
    <w:rsid w:val="007511A7"/>
    <w:rsid w:val="00751857"/>
    <w:rsid w:val="0075442C"/>
    <w:rsid w:val="00755C44"/>
    <w:rsid w:val="0075642B"/>
    <w:rsid w:val="00765A07"/>
    <w:rsid w:val="00765D9C"/>
    <w:rsid w:val="00765DB3"/>
    <w:rsid w:val="00767158"/>
    <w:rsid w:val="00770F08"/>
    <w:rsid w:val="007748DC"/>
    <w:rsid w:val="007755F8"/>
    <w:rsid w:val="007773D2"/>
    <w:rsid w:val="00781664"/>
    <w:rsid w:val="0078262A"/>
    <w:rsid w:val="00783BC9"/>
    <w:rsid w:val="00784E4D"/>
    <w:rsid w:val="0078611C"/>
    <w:rsid w:val="007876D6"/>
    <w:rsid w:val="00792552"/>
    <w:rsid w:val="00796387"/>
    <w:rsid w:val="007969A0"/>
    <w:rsid w:val="007A50E1"/>
    <w:rsid w:val="007B6C98"/>
    <w:rsid w:val="007C3CCE"/>
    <w:rsid w:val="007C461A"/>
    <w:rsid w:val="007C6B6F"/>
    <w:rsid w:val="007D0D11"/>
    <w:rsid w:val="007D383A"/>
    <w:rsid w:val="007D4DF1"/>
    <w:rsid w:val="007D58D2"/>
    <w:rsid w:val="007E02BC"/>
    <w:rsid w:val="007E092E"/>
    <w:rsid w:val="007E3407"/>
    <w:rsid w:val="007E54D1"/>
    <w:rsid w:val="007E640E"/>
    <w:rsid w:val="007F005B"/>
    <w:rsid w:val="007F115C"/>
    <w:rsid w:val="007F24B3"/>
    <w:rsid w:val="007F2A13"/>
    <w:rsid w:val="007F3120"/>
    <w:rsid w:val="007F31EE"/>
    <w:rsid w:val="007F3995"/>
    <w:rsid w:val="007F3FCF"/>
    <w:rsid w:val="007F7CFB"/>
    <w:rsid w:val="0080332D"/>
    <w:rsid w:val="00803625"/>
    <w:rsid w:val="008040D1"/>
    <w:rsid w:val="008048F2"/>
    <w:rsid w:val="008079EF"/>
    <w:rsid w:val="00810859"/>
    <w:rsid w:val="008136F1"/>
    <w:rsid w:val="00814922"/>
    <w:rsid w:val="00816E62"/>
    <w:rsid w:val="00817FA9"/>
    <w:rsid w:val="008237F3"/>
    <w:rsid w:val="00834AE5"/>
    <w:rsid w:val="0083551B"/>
    <w:rsid w:val="00841465"/>
    <w:rsid w:val="00842E1E"/>
    <w:rsid w:val="00844D8F"/>
    <w:rsid w:val="00845BAA"/>
    <w:rsid w:val="008462C2"/>
    <w:rsid w:val="00846B92"/>
    <w:rsid w:val="00851515"/>
    <w:rsid w:val="0085404F"/>
    <w:rsid w:val="00855A8B"/>
    <w:rsid w:val="00856C11"/>
    <w:rsid w:val="008579DB"/>
    <w:rsid w:val="00857DB9"/>
    <w:rsid w:val="00861888"/>
    <w:rsid w:val="00862DD2"/>
    <w:rsid w:val="00863DDD"/>
    <w:rsid w:val="00866A4F"/>
    <w:rsid w:val="0086781E"/>
    <w:rsid w:val="00870705"/>
    <w:rsid w:val="00872EB1"/>
    <w:rsid w:val="008747AF"/>
    <w:rsid w:val="008760C4"/>
    <w:rsid w:val="0087675B"/>
    <w:rsid w:val="0088083E"/>
    <w:rsid w:val="008812BA"/>
    <w:rsid w:val="0088565B"/>
    <w:rsid w:val="0088752E"/>
    <w:rsid w:val="00893AB3"/>
    <w:rsid w:val="00893F32"/>
    <w:rsid w:val="0089717C"/>
    <w:rsid w:val="008A040C"/>
    <w:rsid w:val="008A09D0"/>
    <w:rsid w:val="008A0D4E"/>
    <w:rsid w:val="008B00FE"/>
    <w:rsid w:val="008B2E89"/>
    <w:rsid w:val="008B600E"/>
    <w:rsid w:val="008B6272"/>
    <w:rsid w:val="008B68CD"/>
    <w:rsid w:val="008C2254"/>
    <w:rsid w:val="008C3BBC"/>
    <w:rsid w:val="008C653A"/>
    <w:rsid w:val="008C6842"/>
    <w:rsid w:val="008E1836"/>
    <w:rsid w:val="008E52C3"/>
    <w:rsid w:val="008E633A"/>
    <w:rsid w:val="008F1482"/>
    <w:rsid w:val="008F17D0"/>
    <w:rsid w:val="008F2F2B"/>
    <w:rsid w:val="008F64F5"/>
    <w:rsid w:val="009016D6"/>
    <w:rsid w:val="00904322"/>
    <w:rsid w:val="00910C10"/>
    <w:rsid w:val="00912AC2"/>
    <w:rsid w:val="00913030"/>
    <w:rsid w:val="00914581"/>
    <w:rsid w:val="0091483F"/>
    <w:rsid w:val="00916E3C"/>
    <w:rsid w:val="0092467C"/>
    <w:rsid w:val="009247AC"/>
    <w:rsid w:val="009254D5"/>
    <w:rsid w:val="0093098C"/>
    <w:rsid w:val="00931A82"/>
    <w:rsid w:val="00931EF0"/>
    <w:rsid w:val="00933382"/>
    <w:rsid w:val="009338E0"/>
    <w:rsid w:val="00937534"/>
    <w:rsid w:val="009407BF"/>
    <w:rsid w:val="00940BC0"/>
    <w:rsid w:val="009431CC"/>
    <w:rsid w:val="0094493B"/>
    <w:rsid w:val="00945AF8"/>
    <w:rsid w:val="00945F44"/>
    <w:rsid w:val="00946055"/>
    <w:rsid w:val="00957414"/>
    <w:rsid w:val="00963860"/>
    <w:rsid w:val="00972C86"/>
    <w:rsid w:val="00974672"/>
    <w:rsid w:val="00976860"/>
    <w:rsid w:val="00976CC6"/>
    <w:rsid w:val="00983306"/>
    <w:rsid w:val="0098647F"/>
    <w:rsid w:val="0099017A"/>
    <w:rsid w:val="00991CC9"/>
    <w:rsid w:val="00993CB4"/>
    <w:rsid w:val="009A0786"/>
    <w:rsid w:val="009A6CE8"/>
    <w:rsid w:val="009B0186"/>
    <w:rsid w:val="009B71CD"/>
    <w:rsid w:val="009C0FC9"/>
    <w:rsid w:val="009C60E9"/>
    <w:rsid w:val="009D0376"/>
    <w:rsid w:val="009D12BF"/>
    <w:rsid w:val="009D2F91"/>
    <w:rsid w:val="009D4472"/>
    <w:rsid w:val="009E1112"/>
    <w:rsid w:val="009E254B"/>
    <w:rsid w:val="009E3F36"/>
    <w:rsid w:val="009E479F"/>
    <w:rsid w:val="009E4A2A"/>
    <w:rsid w:val="009F66D6"/>
    <w:rsid w:val="009F7948"/>
    <w:rsid w:val="00A035E1"/>
    <w:rsid w:val="00A035ED"/>
    <w:rsid w:val="00A07CE0"/>
    <w:rsid w:val="00A10FE5"/>
    <w:rsid w:val="00A111B0"/>
    <w:rsid w:val="00A11ADE"/>
    <w:rsid w:val="00A15CF3"/>
    <w:rsid w:val="00A16059"/>
    <w:rsid w:val="00A16808"/>
    <w:rsid w:val="00A16FEC"/>
    <w:rsid w:val="00A216EF"/>
    <w:rsid w:val="00A23224"/>
    <w:rsid w:val="00A247A7"/>
    <w:rsid w:val="00A3053B"/>
    <w:rsid w:val="00A33807"/>
    <w:rsid w:val="00A3393C"/>
    <w:rsid w:val="00A43AFE"/>
    <w:rsid w:val="00A47256"/>
    <w:rsid w:val="00A47D02"/>
    <w:rsid w:val="00A54AE9"/>
    <w:rsid w:val="00A5637B"/>
    <w:rsid w:val="00A5784A"/>
    <w:rsid w:val="00A5787E"/>
    <w:rsid w:val="00A6096E"/>
    <w:rsid w:val="00A64CF4"/>
    <w:rsid w:val="00A70868"/>
    <w:rsid w:val="00A745E8"/>
    <w:rsid w:val="00A76C10"/>
    <w:rsid w:val="00A76D26"/>
    <w:rsid w:val="00A86278"/>
    <w:rsid w:val="00A868F0"/>
    <w:rsid w:val="00A86E43"/>
    <w:rsid w:val="00A92059"/>
    <w:rsid w:val="00A9561A"/>
    <w:rsid w:val="00A97F03"/>
    <w:rsid w:val="00AA29C7"/>
    <w:rsid w:val="00AA66C1"/>
    <w:rsid w:val="00AB191B"/>
    <w:rsid w:val="00AB789D"/>
    <w:rsid w:val="00AC03A3"/>
    <w:rsid w:val="00AC59D0"/>
    <w:rsid w:val="00AC7DAF"/>
    <w:rsid w:val="00AD034C"/>
    <w:rsid w:val="00AD1DBC"/>
    <w:rsid w:val="00AD30F8"/>
    <w:rsid w:val="00AD3BBB"/>
    <w:rsid w:val="00AD4E22"/>
    <w:rsid w:val="00AD65C4"/>
    <w:rsid w:val="00AD69C2"/>
    <w:rsid w:val="00AD6ADD"/>
    <w:rsid w:val="00AE2EAF"/>
    <w:rsid w:val="00AE6208"/>
    <w:rsid w:val="00AE71DC"/>
    <w:rsid w:val="00AF5D50"/>
    <w:rsid w:val="00AF68C7"/>
    <w:rsid w:val="00B01C2E"/>
    <w:rsid w:val="00B073EB"/>
    <w:rsid w:val="00B14532"/>
    <w:rsid w:val="00B1751F"/>
    <w:rsid w:val="00B23E55"/>
    <w:rsid w:val="00B255E8"/>
    <w:rsid w:val="00B262E2"/>
    <w:rsid w:val="00B3079F"/>
    <w:rsid w:val="00B36DD7"/>
    <w:rsid w:val="00B40172"/>
    <w:rsid w:val="00B41FE3"/>
    <w:rsid w:val="00B42E0E"/>
    <w:rsid w:val="00B440C7"/>
    <w:rsid w:val="00B4486C"/>
    <w:rsid w:val="00B45F16"/>
    <w:rsid w:val="00B5006E"/>
    <w:rsid w:val="00B5087F"/>
    <w:rsid w:val="00B509C7"/>
    <w:rsid w:val="00B520D8"/>
    <w:rsid w:val="00B571FC"/>
    <w:rsid w:val="00B572BF"/>
    <w:rsid w:val="00B57961"/>
    <w:rsid w:val="00B6240C"/>
    <w:rsid w:val="00B6280A"/>
    <w:rsid w:val="00B71E57"/>
    <w:rsid w:val="00B74A99"/>
    <w:rsid w:val="00B75FF5"/>
    <w:rsid w:val="00B83EFC"/>
    <w:rsid w:val="00B87DBC"/>
    <w:rsid w:val="00B9106C"/>
    <w:rsid w:val="00B91B73"/>
    <w:rsid w:val="00B93621"/>
    <w:rsid w:val="00B96936"/>
    <w:rsid w:val="00BA2B06"/>
    <w:rsid w:val="00BA6053"/>
    <w:rsid w:val="00BB2D4F"/>
    <w:rsid w:val="00BB4AC6"/>
    <w:rsid w:val="00BC3159"/>
    <w:rsid w:val="00BD03E2"/>
    <w:rsid w:val="00BD25AE"/>
    <w:rsid w:val="00BD5386"/>
    <w:rsid w:val="00BD61C9"/>
    <w:rsid w:val="00BD6FA8"/>
    <w:rsid w:val="00BE4782"/>
    <w:rsid w:val="00BF0AE7"/>
    <w:rsid w:val="00BF268B"/>
    <w:rsid w:val="00BF3759"/>
    <w:rsid w:val="00BF3B28"/>
    <w:rsid w:val="00C00C4C"/>
    <w:rsid w:val="00C02FD5"/>
    <w:rsid w:val="00C0475C"/>
    <w:rsid w:val="00C04DB3"/>
    <w:rsid w:val="00C059A6"/>
    <w:rsid w:val="00C10F16"/>
    <w:rsid w:val="00C11552"/>
    <w:rsid w:val="00C11C62"/>
    <w:rsid w:val="00C126D2"/>
    <w:rsid w:val="00C1448B"/>
    <w:rsid w:val="00C14B6F"/>
    <w:rsid w:val="00C154B7"/>
    <w:rsid w:val="00C168BD"/>
    <w:rsid w:val="00C23252"/>
    <w:rsid w:val="00C26958"/>
    <w:rsid w:val="00C30018"/>
    <w:rsid w:val="00C3296F"/>
    <w:rsid w:val="00C332C4"/>
    <w:rsid w:val="00C352E4"/>
    <w:rsid w:val="00C354D3"/>
    <w:rsid w:val="00C43805"/>
    <w:rsid w:val="00C462F8"/>
    <w:rsid w:val="00C477FA"/>
    <w:rsid w:val="00C546D6"/>
    <w:rsid w:val="00C5726C"/>
    <w:rsid w:val="00C57508"/>
    <w:rsid w:val="00C5774F"/>
    <w:rsid w:val="00C613BA"/>
    <w:rsid w:val="00C61DE2"/>
    <w:rsid w:val="00C640B8"/>
    <w:rsid w:val="00C6419E"/>
    <w:rsid w:val="00C66A08"/>
    <w:rsid w:val="00C67D54"/>
    <w:rsid w:val="00C724DA"/>
    <w:rsid w:val="00C73711"/>
    <w:rsid w:val="00C7642C"/>
    <w:rsid w:val="00C76E7D"/>
    <w:rsid w:val="00C8193C"/>
    <w:rsid w:val="00C82158"/>
    <w:rsid w:val="00C8638E"/>
    <w:rsid w:val="00C961A7"/>
    <w:rsid w:val="00C96E32"/>
    <w:rsid w:val="00CA2725"/>
    <w:rsid w:val="00CA57E3"/>
    <w:rsid w:val="00CB3E1D"/>
    <w:rsid w:val="00CB59EF"/>
    <w:rsid w:val="00CC0F7C"/>
    <w:rsid w:val="00CC15A7"/>
    <w:rsid w:val="00CC30D3"/>
    <w:rsid w:val="00CD0A2C"/>
    <w:rsid w:val="00CD2950"/>
    <w:rsid w:val="00CD439B"/>
    <w:rsid w:val="00CE24F0"/>
    <w:rsid w:val="00CE32E2"/>
    <w:rsid w:val="00CE3808"/>
    <w:rsid w:val="00CF2D01"/>
    <w:rsid w:val="00CF5285"/>
    <w:rsid w:val="00CF76CD"/>
    <w:rsid w:val="00D018D9"/>
    <w:rsid w:val="00D03A9F"/>
    <w:rsid w:val="00D05356"/>
    <w:rsid w:val="00D055FA"/>
    <w:rsid w:val="00D06682"/>
    <w:rsid w:val="00D11A58"/>
    <w:rsid w:val="00D126C3"/>
    <w:rsid w:val="00D13ACA"/>
    <w:rsid w:val="00D167F3"/>
    <w:rsid w:val="00D1773E"/>
    <w:rsid w:val="00D2204D"/>
    <w:rsid w:val="00D22C0D"/>
    <w:rsid w:val="00D263D1"/>
    <w:rsid w:val="00D26A4D"/>
    <w:rsid w:val="00D2710A"/>
    <w:rsid w:val="00D36C3F"/>
    <w:rsid w:val="00D37726"/>
    <w:rsid w:val="00D44A4D"/>
    <w:rsid w:val="00D463CB"/>
    <w:rsid w:val="00D53652"/>
    <w:rsid w:val="00D600A7"/>
    <w:rsid w:val="00D714C0"/>
    <w:rsid w:val="00D773A7"/>
    <w:rsid w:val="00D803BB"/>
    <w:rsid w:val="00D825B1"/>
    <w:rsid w:val="00D867F7"/>
    <w:rsid w:val="00D87312"/>
    <w:rsid w:val="00D90355"/>
    <w:rsid w:val="00D91EB1"/>
    <w:rsid w:val="00D9203A"/>
    <w:rsid w:val="00D93202"/>
    <w:rsid w:val="00D95963"/>
    <w:rsid w:val="00D968CC"/>
    <w:rsid w:val="00DA01FB"/>
    <w:rsid w:val="00DA3206"/>
    <w:rsid w:val="00DA62A5"/>
    <w:rsid w:val="00DA7522"/>
    <w:rsid w:val="00DA7F03"/>
    <w:rsid w:val="00DB3605"/>
    <w:rsid w:val="00DB440C"/>
    <w:rsid w:val="00DB5C0A"/>
    <w:rsid w:val="00DB6E45"/>
    <w:rsid w:val="00DC22B0"/>
    <w:rsid w:val="00DC7CA8"/>
    <w:rsid w:val="00DD0E2F"/>
    <w:rsid w:val="00DD12EF"/>
    <w:rsid w:val="00DD1340"/>
    <w:rsid w:val="00DD38C6"/>
    <w:rsid w:val="00DD6109"/>
    <w:rsid w:val="00DE0682"/>
    <w:rsid w:val="00DE4EB8"/>
    <w:rsid w:val="00DE7225"/>
    <w:rsid w:val="00DE7C04"/>
    <w:rsid w:val="00DF0C43"/>
    <w:rsid w:val="00DF152F"/>
    <w:rsid w:val="00DF202D"/>
    <w:rsid w:val="00DF251D"/>
    <w:rsid w:val="00DF3D63"/>
    <w:rsid w:val="00DF6766"/>
    <w:rsid w:val="00E01CE2"/>
    <w:rsid w:val="00E025FC"/>
    <w:rsid w:val="00E13EA0"/>
    <w:rsid w:val="00E15FCC"/>
    <w:rsid w:val="00E23193"/>
    <w:rsid w:val="00E31F15"/>
    <w:rsid w:val="00E35874"/>
    <w:rsid w:val="00E42CB6"/>
    <w:rsid w:val="00E458A5"/>
    <w:rsid w:val="00E4728C"/>
    <w:rsid w:val="00E5219D"/>
    <w:rsid w:val="00E543C2"/>
    <w:rsid w:val="00E54F5B"/>
    <w:rsid w:val="00E63100"/>
    <w:rsid w:val="00E6377A"/>
    <w:rsid w:val="00E65DF5"/>
    <w:rsid w:val="00E66067"/>
    <w:rsid w:val="00E660F4"/>
    <w:rsid w:val="00E7264C"/>
    <w:rsid w:val="00E7612B"/>
    <w:rsid w:val="00E761AD"/>
    <w:rsid w:val="00E81C1C"/>
    <w:rsid w:val="00E84007"/>
    <w:rsid w:val="00E91D09"/>
    <w:rsid w:val="00E9244E"/>
    <w:rsid w:val="00E96CEA"/>
    <w:rsid w:val="00EA1D69"/>
    <w:rsid w:val="00EA2EDE"/>
    <w:rsid w:val="00EA3100"/>
    <w:rsid w:val="00EA3D61"/>
    <w:rsid w:val="00EB24A8"/>
    <w:rsid w:val="00EB3CA6"/>
    <w:rsid w:val="00EB47F4"/>
    <w:rsid w:val="00EB5460"/>
    <w:rsid w:val="00EB6CDA"/>
    <w:rsid w:val="00EC0C2D"/>
    <w:rsid w:val="00EC303E"/>
    <w:rsid w:val="00EC51CC"/>
    <w:rsid w:val="00EC6808"/>
    <w:rsid w:val="00ED2E52"/>
    <w:rsid w:val="00ED3EB3"/>
    <w:rsid w:val="00EE0E37"/>
    <w:rsid w:val="00EE1C0C"/>
    <w:rsid w:val="00EE1FB4"/>
    <w:rsid w:val="00EF2BF7"/>
    <w:rsid w:val="00EF6C6B"/>
    <w:rsid w:val="00F000E5"/>
    <w:rsid w:val="00F0787D"/>
    <w:rsid w:val="00F13622"/>
    <w:rsid w:val="00F16268"/>
    <w:rsid w:val="00F20363"/>
    <w:rsid w:val="00F22846"/>
    <w:rsid w:val="00F25EFA"/>
    <w:rsid w:val="00F26090"/>
    <w:rsid w:val="00F26898"/>
    <w:rsid w:val="00F370D9"/>
    <w:rsid w:val="00F41D71"/>
    <w:rsid w:val="00F47BFF"/>
    <w:rsid w:val="00F603D8"/>
    <w:rsid w:val="00F630D7"/>
    <w:rsid w:val="00F6474A"/>
    <w:rsid w:val="00F65450"/>
    <w:rsid w:val="00F65F66"/>
    <w:rsid w:val="00F670C3"/>
    <w:rsid w:val="00F70BC1"/>
    <w:rsid w:val="00F718CB"/>
    <w:rsid w:val="00F74FF2"/>
    <w:rsid w:val="00F765EA"/>
    <w:rsid w:val="00F7747B"/>
    <w:rsid w:val="00F7781D"/>
    <w:rsid w:val="00F84278"/>
    <w:rsid w:val="00F8465E"/>
    <w:rsid w:val="00F91522"/>
    <w:rsid w:val="00F94698"/>
    <w:rsid w:val="00F97BB8"/>
    <w:rsid w:val="00FA0FBE"/>
    <w:rsid w:val="00FA39FC"/>
    <w:rsid w:val="00FB03DD"/>
    <w:rsid w:val="00FB06E7"/>
    <w:rsid w:val="00FB14A9"/>
    <w:rsid w:val="00FB2869"/>
    <w:rsid w:val="00FB289B"/>
    <w:rsid w:val="00FB4BE6"/>
    <w:rsid w:val="00FB4F46"/>
    <w:rsid w:val="00FC1E31"/>
    <w:rsid w:val="00FC409A"/>
    <w:rsid w:val="00FD1C30"/>
    <w:rsid w:val="00FD21F5"/>
    <w:rsid w:val="00FE5E08"/>
    <w:rsid w:val="00FE6006"/>
    <w:rsid w:val="00FF0646"/>
    <w:rsid w:val="00FF1229"/>
    <w:rsid w:val="00FF1603"/>
    <w:rsid w:val="00FF1E19"/>
    <w:rsid w:val="00FF5A92"/>
    <w:rsid w:val="021B4035"/>
    <w:rsid w:val="030D33E7"/>
    <w:rsid w:val="03306F61"/>
    <w:rsid w:val="03433231"/>
    <w:rsid w:val="04D22D9B"/>
    <w:rsid w:val="06A532EF"/>
    <w:rsid w:val="072A6E52"/>
    <w:rsid w:val="07D61FAC"/>
    <w:rsid w:val="07F52B12"/>
    <w:rsid w:val="08A86CA8"/>
    <w:rsid w:val="0A0C27C3"/>
    <w:rsid w:val="0B6374CB"/>
    <w:rsid w:val="0B83133D"/>
    <w:rsid w:val="0BA03487"/>
    <w:rsid w:val="0D2810EF"/>
    <w:rsid w:val="0DA262CF"/>
    <w:rsid w:val="0E7D29E1"/>
    <w:rsid w:val="0F931A74"/>
    <w:rsid w:val="11A6218A"/>
    <w:rsid w:val="126F5E0C"/>
    <w:rsid w:val="129C0518"/>
    <w:rsid w:val="156031C3"/>
    <w:rsid w:val="159B304A"/>
    <w:rsid w:val="167813B6"/>
    <w:rsid w:val="16AB3DE0"/>
    <w:rsid w:val="1772709E"/>
    <w:rsid w:val="19657507"/>
    <w:rsid w:val="1A6076AA"/>
    <w:rsid w:val="1B9E2A5D"/>
    <w:rsid w:val="1CD5442F"/>
    <w:rsid w:val="1D973E5B"/>
    <w:rsid w:val="1EE714CA"/>
    <w:rsid w:val="1F684636"/>
    <w:rsid w:val="1F6F5F6D"/>
    <w:rsid w:val="20725621"/>
    <w:rsid w:val="22365224"/>
    <w:rsid w:val="22E95CBB"/>
    <w:rsid w:val="24AE6E5C"/>
    <w:rsid w:val="26651250"/>
    <w:rsid w:val="27493FD4"/>
    <w:rsid w:val="28503A54"/>
    <w:rsid w:val="2A450E18"/>
    <w:rsid w:val="2B5A607D"/>
    <w:rsid w:val="2B8E5F4F"/>
    <w:rsid w:val="2C77161F"/>
    <w:rsid w:val="2D3010F9"/>
    <w:rsid w:val="2E6601BA"/>
    <w:rsid w:val="2EB72CAD"/>
    <w:rsid w:val="2F903945"/>
    <w:rsid w:val="30287F37"/>
    <w:rsid w:val="319F5C81"/>
    <w:rsid w:val="320B651A"/>
    <w:rsid w:val="32981E61"/>
    <w:rsid w:val="32DE2E3A"/>
    <w:rsid w:val="34E7590A"/>
    <w:rsid w:val="3623446E"/>
    <w:rsid w:val="36CC2EF7"/>
    <w:rsid w:val="392C3D3F"/>
    <w:rsid w:val="39650B83"/>
    <w:rsid w:val="39FB5ED3"/>
    <w:rsid w:val="3A1C1AA5"/>
    <w:rsid w:val="3AF17788"/>
    <w:rsid w:val="3C27022A"/>
    <w:rsid w:val="3D143CC2"/>
    <w:rsid w:val="3D571DC5"/>
    <w:rsid w:val="3DEA453C"/>
    <w:rsid w:val="3ECE31A0"/>
    <w:rsid w:val="3F7C0153"/>
    <w:rsid w:val="400805FF"/>
    <w:rsid w:val="41C17EFB"/>
    <w:rsid w:val="43BA6FC2"/>
    <w:rsid w:val="44F30F2C"/>
    <w:rsid w:val="45F15F83"/>
    <w:rsid w:val="46C73A25"/>
    <w:rsid w:val="46ED51C6"/>
    <w:rsid w:val="46F47F07"/>
    <w:rsid w:val="47C133B8"/>
    <w:rsid w:val="47DC00B2"/>
    <w:rsid w:val="48D86191"/>
    <w:rsid w:val="499939F2"/>
    <w:rsid w:val="4A1223B7"/>
    <w:rsid w:val="4B06393E"/>
    <w:rsid w:val="4C316362"/>
    <w:rsid w:val="4C372BF3"/>
    <w:rsid w:val="4C395AE5"/>
    <w:rsid w:val="4C4E1391"/>
    <w:rsid w:val="4DBC4F67"/>
    <w:rsid w:val="4E0E2829"/>
    <w:rsid w:val="4E8D7A8B"/>
    <w:rsid w:val="500B2260"/>
    <w:rsid w:val="5297145D"/>
    <w:rsid w:val="53352A18"/>
    <w:rsid w:val="53CA5590"/>
    <w:rsid w:val="55DF10F8"/>
    <w:rsid w:val="572321BA"/>
    <w:rsid w:val="58AF50E9"/>
    <w:rsid w:val="59363DEF"/>
    <w:rsid w:val="5A1D3542"/>
    <w:rsid w:val="5B0C7FE5"/>
    <w:rsid w:val="5B933F36"/>
    <w:rsid w:val="5CB11B2D"/>
    <w:rsid w:val="5D4B4A8D"/>
    <w:rsid w:val="5D623534"/>
    <w:rsid w:val="5E605D81"/>
    <w:rsid w:val="60506DE4"/>
    <w:rsid w:val="61605DCD"/>
    <w:rsid w:val="62BE6822"/>
    <w:rsid w:val="63B038A0"/>
    <w:rsid w:val="660C0FE1"/>
    <w:rsid w:val="679D6EDA"/>
    <w:rsid w:val="685F6918"/>
    <w:rsid w:val="694F1087"/>
    <w:rsid w:val="69E60D65"/>
    <w:rsid w:val="6A3D4823"/>
    <w:rsid w:val="6A6E10DA"/>
    <w:rsid w:val="6C1A600C"/>
    <w:rsid w:val="6C2240F1"/>
    <w:rsid w:val="6D0C2A35"/>
    <w:rsid w:val="6EB63FF2"/>
    <w:rsid w:val="6EC538FD"/>
    <w:rsid w:val="6F6B71EC"/>
    <w:rsid w:val="6F7B69E8"/>
    <w:rsid w:val="705A5FC1"/>
    <w:rsid w:val="71F351A6"/>
    <w:rsid w:val="73827E8A"/>
    <w:rsid w:val="73E62008"/>
    <w:rsid w:val="74F2152B"/>
    <w:rsid w:val="750E0EA6"/>
    <w:rsid w:val="764136CF"/>
    <w:rsid w:val="76C105DC"/>
    <w:rsid w:val="7D6815BC"/>
    <w:rsid w:val="7E765714"/>
    <w:rsid w:val="7F7C21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0" w:semiHidden="0" w:name="heading 2" w:locked="1"/>
    <w:lsdException w:qFormat="1" w:unhideWhenUsed="0" w:uiPriority="0" w:semiHidden="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ocked="1"/>
    <w:lsdException w:qFormat="1" w:unhideWhenUsed="0" w:uiPriority="39" w:semiHidden="0" w:name="toc 2" w:locked="1"/>
    <w:lsdException w:qFormat="1" w:unhideWhenUsed="0" w:uiPriority="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name="header"/>
    <w:lsdException w:qFormat="1" w:unhideWhenUsed="0" w:uiPriority="0" w:semiHidden="0" w:name="footer"/>
    <w:lsdException w:unhideWhenUsed="0" w:uiPriority="0" w:semiHidden="0" w:name="index heading"/>
    <w:lsdException w:qFormat="1" w:uiPriority="0" w:name="caption" w:locked="1"/>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ocked="1"/>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ocked="1"/>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ocked="1"/>
    <w:lsdException w:qFormat="1" w:unhideWhenUsed="0" w:uiPriority="0" w:semiHidden="0" w:name="Emphasis" w:locked="1"/>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ocked="1"/>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方正仿宋" w:cs="Times New Roman"/>
      <w:kern w:val="2"/>
      <w:sz w:val="32"/>
      <w:szCs w:val="32"/>
      <w:lang w:val="en-US" w:eastAsia="zh-CN" w:bidi="ar-SA"/>
    </w:rPr>
  </w:style>
  <w:style w:type="paragraph" w:styleId="2">
    <w:name w:val="heading 1"/>
    <w:basedOn w:val="1"/>
    <w:next w:val="1"/>
    <w:link w:val="26"/>
    <w:qFormat/>
    <w:locked/>
    <w:uiPriority w:val="0"/>
    <w:pPr>
      <w:keepNext/>
      <w:keepLines/>
      <w:spacing w:before="340" w:after="330" w:line="578" w:lineRule="auto"/>
      <w:outlineLvl w:val="0"/>
    </w:pPr>
    <w:rPr>
      <w:rFonts w:eastAsia="宋体"/>
      <w:b/>
      <w:bCs/>
      <w:kern w:val="44"/>
      <w:sz w:val="44"/>
      <w:szCs w:val="44"/>
    </w:rPr>
  </w:style>
  <w:style w:type="paragraph" w:styleId="3">
    <w:name w:val="heading 2"/>
    <w:basedOn w:val="1"/>
    <w:next w:val="1"/>
    <w:link w:val="28"/>
    <w:qFormat/>
    <w:locked/>
    <w:uiPriority w:val="0"/>
    <w:pPr>
      <w:keepNext/>
      <w:keepLines/>
      <w:spacing w:before="260" w:after="260" w:line="416" w:lineRule="auto"/>
      <w:outlineLvl w:val="1"/>
    </w:pPr>
    <w:rPr>
      <w:rFonts w:ascii="Cambria" w:hAnsi="Cambria" w:eastAsia="宋体" w:cs="Cambria"/>
      <w:b/>
      <w:bCs/>
    </w:rPr>
  </w:style>
  <w:style w:type="paragraph" w:styleId="4">
    <w:name w:val="heading 3"/>
    <w:basedOn w:val="1"/>
    <w:next w:val="1"/>
    <w:link w:val="29"/>
    <w:qFormat/>
    <w:locked/>
    <w:uiPriority w:val="0"/>
    <w:pPr>
      <w:keepNext/>
      <w:keepLines/>
      <w:spacing w:before="260" w:after="260" w:line="416" w:lineRule="auto"/>
      <w:outlineLvl w:val="2"/>
    </w:pPr>
    <w:rPr>
      <w:rFonts w:eastAsia="宋体"/>
      <w:b/>
      <w:bCs/>
    </w:rPr>
  </w:style>
  <w:style w:type="character" w:default="1" w:styleId="21">
    <w:name w:val="Default Paragraph Font"/>
    <w:semiHidden/>
    <w:unhideWhenUsed/>
    <w:qFormat/>
    <w:uiPriority w:val="1"/>
  </w:style>
  <w:style w:type="table" w:default="1" w:styleId="1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szCs w:val="20"/>
    </w:rPr>
  </w:style>
  <w:style w:type="paragraph" w:styleId="6">
    <w:name w:val="annotation text"/>
    <w:basedOn w:val="1"/>
    <w:link w:val="43"/>
    <w:semiHidden/>
    <w:qFormat/>
    <w:uiPriority w:val="0"/>
    <w:pPr>
      <w:jc w:val="left"/>
    </w:pPr>
    <w:rPr>
      <w:rFonts w:eastAsia="宋体"/>
      <w:sz w:val="21"/>
      <w:szCs w:val="21"/>
    </w:rPr>
  </w:style>
  <w:style w:type="paragraph" w:styleId="7">
    <w:name w:val="Body Text"/>
    <w:basedOn w:val="1"/>
    <w:link w:val="38"/>
    <w:qFormat/>
    <w:uiPriority w:val="0"/>
    <w:pPr>
      <w:spacing w:after="120"/>
    </w:pPr>
  </w:style>
  <w:style w:type="paragraph" w:styleId="8">
    <w:name w:val="Body Text Indent"/>
    <w:basedOn w:val="1"/>
    <w:qFormat/>
    <w:uiPriority w:val="0"/>
    <w:pPr>
      <w:spacing w:after="120"/>
      <w:ind w:left="420" w:leftChars="200"/>
    </w:pPr>
  </w:style>
  <w:style w:type="paragraph" w:styleId="9">
    <w:name w:val="toc 3"/>
    <w:basedOn w:val="1"/>
    <w:next w:val="1"/>
    <w:semiHidden/>
    <w:qFormat/>
    <w:locked/>
    <w:uiPriority w:val="0"/>
    <w:pPr>
      <w:tabs>
        <w:tab w:val="right" w:leader="dot" w:pos="8296"/>
      </w:tabs>
      <w:ind w:left="840" w:leftChars="400"/>
    </w:pPr>
    <w:rPr>
      <w:rFonts w:eastAsia="宋体"/>
      <w:sz w:val="21"/>
      <w:szCs w:val="21"/>
    </w:rPr>
  </w:style>
  <w:style w:type="paragraph" w:styleId="10">
    <w:name w:val="Date"/>
    <w:basedOn w:val="1"/>
    <w:next w:val="1"/>
    <w:link w:val="30"/>
    <w:qFormat/>
    <w:uiPriority w:val="0"/>
    <w:pPr>
      <w:ind w:left="100" w:leftChars="2500"/>
    </w:pPr>
    <w:rPr>
      <w:rFonts w:ascii="仿宋_GB2312" w:eastAsia="仿宋_GB2312"/>
      <w:sz w:val="30"/>
    </w:rPr>
  </w:style>
  <w:style w:type="paragraph" w:styleId="11">
    <w:name w:val="Balloon Text"/>
    <w:basedOn w:val="1"/>
    <w:link w:val="42"/>
    <w:semiHidden/>
    <w:qFormat/>
    <w:uiPriority w:val="0"/>
    <w:rPr>
      <w:rFonts w:eastAsia="宋体"/>
      <w:sz w:val="18"/>
      <w:szCs w:val="18"/>
    </w:rPr>
  </w:style>
  <w:style w:type="paragraph" w:styleId="12">
    <w:name w:val="footer"/>
    <w:basedOn w:val="1"/>
    <w:link w:val="31"/>
    <w:qFormat/>
    <w:uiPriority w:val="0"/>
    <w:pPr>
      <w:tabs>
        <w:tab w:val="center" w:pos="4153"/>
        <w:tab w:val="right" w:pos="8306"/>
      </w:tabs>
      <w:snapToGrid w:val="0"/>
      <w:jc w:val="left"/>
    </w:pPr>
    <w:rPr>
      <w:sz w:val="18"/>
      <w:szCs w:val="18"/>
    </w:rPr>
  </w:style>
  <w:style w:type="paragraph" w:styleId="13">
    <w:name w:val="header"/>
    <w:basedOn w:val="1"/>
    <w:link w:val="32"/>
    <w:semiHidden/>
    <w:qFormat/>
    <w:uiPriority w:val="0"/>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locked/>
    <w:uiPriority w:val="39"/>
    <w:pPr>
      <w:tabs>
        <w:tab w:val="right" w:leader="dot" w:pos="8296"/>
      </w:tabs>
      <w:spacing w:before="93"/>
      <w:jc w:val="center"/>
    </w:pPr>
    <w:rPr>
      <w:rFonts w:eastAsia="方正黑体_GBK"/>
      <w:bCs/>
      <w:color w:val="000000"/>
      <w:sz w:val="28"/>
      <w:szCs w:val="28"/>
    </w:rPr>
  </w:style>
  <w:style w:type="paragraph" w:styleId="15">
    <w:name w:val="Body Text Indent 3"/>
    <w:basedOn w:val="1"/>
    <w:qFormat/>
    <w:uiPriority w:val="0"/>
    <w:pPr>
      <w:ind w:firstLine="632" w:firstLineChars="200"/>
    </w:pPr>
    <w:rPr>
      <w:rFonts w:ascii="仿宋_GB2312" w:eastAsia="仿宋_GB2312"/>
      <w:u w:val="single"/>
    </w:rPr>
  </w:style>
  <w:style w:type="paragraph" w:styleId="16">
    <w:name w:val="toc 2"/>
    <w:basedOn w:val="1"/>
    <w:next w:val="1"/>
    <w:qFormat/>
    <w:locked/>
    <w:uiPriority w:val="39"/>
    <w:pPr>
      <w:tabs>
        <w:tab w:val="right" w:leader="dot" w:pos="8296"/>
      </w:tabs>
      <w:ind w:left="420" w:leftChars="200"/>
    </w:pPr>
    <w:rPr>
      <w:rFonts w:eastAsia="宋体"/>
      <w:sz w:val="21"/>
      <w:szCs w:val="21"/>
    </w:rPr>
  </w:style>
  <w:style w:type="paragraph" w:styleId="17">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18">
    <w:name w:val="annotation subject"/>
    <w:basedOn w:val="6"/>
    <w:next w:val="6"/>
    <w:link w:val="44"/>
    <w:semiHidden/>
    <w:qFormat/>
    <w:uiPriority w:val="0"/>
    <w:rPr>
      <w:b/>
      <w:bCs/>
    </w:rPr>
  </w:style>
  <w:style w:type="table" w:styleId="20">
    <w:name w:val="Table Grid"/>
    <w:basedOn w:val="19"/>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qFormat/>
    <w:locked/>
    <w:uiPriority w:val="0"/>
    <w:rPr>
      <w:rFonts w:cs="Times New Roman"/>
      <w:b/>
      <w:bCs/>
    </w:rPr>
  </w:style>
  <w:style w:type="character" w:styleId="23">
    <w:name w:val="page number"/>
    <w:qFormat/>
    <w:uiPriority w:val="0"/>
    <w:rPr>
      <w:rFonts w:cs="Times New Roman"/>
    </w:rPr>
  </w:style>
  <w:style w:type="character" w:styleId="24">
    <w:name w:val="Hyperlink"/>
    <w:qFormat/>
    <w:uiPriority w:val="99"/>
    <w:rPr>
      <w:rFonts w:cs="Times New Roman"/>
      <w:color w:val="0000FF"/>
      <w:u w:val="single"/>
    </w:rPr>
  </w:style>
  <w:style w:type="character" w:styleId="25">
    <w:name w:val="annotation reference"/>
    <w:qFormat/>
    <w:uiPriority w:val="0"/>
    <w:rPr>
      <w:sz w:val="21"/>
      <w:szCs w:val="21"/>
    </w:rPr>
  </w:style>
  <w:style w:type="character" w:customStyle="1" w:styleId="26">
    <w:name w:val="标题 1 Char"/>
    <w:link w:val="2"/>
    <w:qFormat/>
    <w:locked/>
    <w:uiPriority w:val="0"/>
    <w:rPr>
      <w:rFonts w:eastAsia="宋体"/>
      <w:b/>
      <w:bCs/>
      <w:kern w:val="44"/>
      <w:sz w:val="44"/>
      <w:szCs w:val="44"/>
      <w:lang w:val="en-US" w:eastAsia="zh-CN" w:bidi="ar-SA"/>
    </w:rPr>
  </w:style>
  <w:style w:type="paragraph" w:customStyle="1" w:styleId="27">
    <w:name w:val="_Style 7"/>
    <w:basedOn w:val="1"/>
    <w:qFormat/>
    <w:uiPriority w:val="0"/>
    <w:pPr>
      <w:widowControl/>
      <w:snapToGrid w:val="0"/>
      <w:spacing w:line="240" w:lineRule="exact"/>
      <w:jc w:val="left"/>
    </w:pPr>
    <w:rPr>
      <w:rFonts w:ascii="Verdana" w:hAnsi="Verdana" w:eastAsia="宋体"/>
      <w:kern w:val="0"/>
      <w:sz w:val="20"/>
      <w:szCs w:val="20"/>
      <w:lang w:eastAsia="en-US"/>
    </w:rPr>
  </w:style>
  <w:style w:type="character" w:customStyle="1" w:styleId="28">
    <w:name w:val="标题 2 Char"/>
    <w:link w:val="3"/>
    <w:qFormat/>
    <w:locked/>
    <w:uiPriority w:val="0"/>
    <w:rPr>
      <w:rFonts w:ascii="Cambria" w:hAnsi="Cambria" w:eastAsia="宋体" w:cs="Cambria"/>
      <w:b/>
      <w:bCs/>
      <w:kern w:val="2"/>
      <w:sz w:val="32"/>
      <w:szCs w:val="32"/>
      <w:lang w:val="en-US" w:eastAsia="zh-CN" w:bidi="ar-SA"/>
    </w:rPr>
  </w:style>
  <w:style w:type="character" w:customStyle="1" w:styleId="29">
    <w:name w:val="标题 3 Char"/>
    <w:link w:val="4"/>
    <w:qFormat/>
    <w:locked/>
    <w:uiPriority w:val="0"/>
    <w:rPr>
      <w:rFonts w:eastAsia="宋体"/>
      <w:b/>
      <w:bCs/>
      <w:kern w:val="2"/>
      <w:sz w:val="32"/>
      <w:szCs w:val="32"/>
      <w:lang w:val="en-US" w:eastAsia="zh-CN" w:bidi="ar-SA"/>
    </w:rPr>
  </w:style>
  <w:style w:type="character" w:customStyle="1" w:styleId="30">
    <w:name w:val="日期 Char"/>
    <w:link w:val="10"/>
    <w:qFormat/>
    <w:locked/>
    <w:uiPriority w:val="0"/>
    <w:rPr>
      <w:rFonts w:ascii="仿宋_GB2312" w:hAnsi="Times New Roman" w:eastAsia="仿宋_GB2312" w:cs="Times New Roman"/>
      <w:sz w:val="32"/>
      <w:szCs w:val="32"/>
    </w:rPr>
  </w:style>
  <w:style w:type="character" w:customStyle="1" w:styleId="31">
    <w:name w:val="页脚 Char"/>
    <w:link w:val="12"/>
    <w:qFormat/>
    <w:locked/>
    <w:uiPriority w:val="0"/>
    <w:rPr>
      <w:rFonts w:ascii="Times New Roman" w:hAnsi="Times New Roman" w:eastAsia="方正仿宋" w:cs="Times New Roman"/>
      <w:sz w:val="18"/>
      <w:szCs w:val="18"/>
    </w:rPr>
  </w:style>
  <w:style w:type="character" w:customStyle="1" w:styleId="32">
    <w:name w:val="页眉 Char"/>
    <w:link w:val="13"/>
    <w:semiHidden/>
    <w:qFormat/>
    <w:locked/>
    <w:uiPriority w:val="0"/>
    <w:rPr>
      <w:rFonts w:ascii="Times New Roman" w:hAnsi="Times New Roman" w:eastAsia="方正仿宋" w:cs="Times New Roman"/>
      <w:sz w:val="18"/>
      <w:szCs w:val="18"/>
    </w:rPr>
  </w:style>
  <w:style w:type="paragraph" w:styleId="33">
    <w:name w:val="List Paragraph"/>
    <w:basedOn w:val="1"/>
    <w:qFormat/>
    <w:uiPriority w:val="0"/>
    <w:pPr>
      <w:ind w:firstLine="420" w:firstLineChars="200"/>
    </w:pPr>
    <w:rPr>
      <w:rFonts w:ascii="Calibri" w:hAnsi="Calibri" w:eastAsia="宋体"/>
      <w:sz w:val="21"/>
      <w:szCs w:val="22"/>
    </w:rPr>
  </w:style>
  <w:style w:type="paragraph" w:customStyle="1" w:styleId="34">
    <w:name w:val="列出段落1"/>
    <w:basedOn w:val="1"/>
    <w:qFormat/>
    <w:uiPriority w:val="0"/>
    <w:pPr>
      <w:ind w:firstLine="420" w:firstLineChars="200"/>
    </w:pPr>
    <w:rPr>
      <w:rFonts w:eastAsia="仿宋_GB2312"/>
    </w:rPr>
  </w:style>
  <w:style w:type="paragraph" w:customStyle="1" w:styleId="35">
    <w:name w:val="列出段落11"/>
    <w:basedOn w:val="1"/>
    <w:qFormat/>
    <w:uiPriority w:val="0"/>
    <w:pPr>
      <w:ind w:firstLine="420" w:firstLineChars="200"/>
    </w:pPr>
    <w:rPr>
      <w:rFonts w:eastAsia="宋体"/>
      <w:sz w:val="21"/>
      <w:szCs w:val="21"/>
    </w:rPr>
  </w:style>
  <w:style w:type="character" w:customStyle="1" w:styleId="36">
    <w:name w:val="Char Char2"/>
    <w:qFormat/>
    <w:uiPriority w:val="0"/>
    <w:rPr>
      <w:rFonts w:ascii="仿宋_GB2312" w:hAnsi="Times New Roman" w:eastAsia="仿宋_GB2312" w:cs="Times New Roman"/>
      <w:sz w:val="30"/>
      <w:szCs w:val="32"/>
    </w:rPr>
  </w:style>
  <w:style w:type="character" w:customStyle="1" w:styleId="37">
    <w:name w:val="Char Char4"/>
    <w:qFormat/>
    <w:locked/>
    <w:uiPriority w:val="0"/>
    <w:rPr>
      <w:rFonts w:eastAsia="宋体"/>
      <w:kern w:val="2"/>
      <w:sz w:val="18"/>
      <w:szCs w:val="18"/>
      <w:lang w:val="en-US" w:eastAsia="zh-CN"/>
    </w:rPr>
  </w:style>
  <w:style w:type="character" w:customStyle="1" w:styleId="38">
    <w:name w:val="正文文本 Char"/>
    <w:link w:val="7"/>
    <w:qFormat/>
    <w:locked/>
    <w:uiPriority w:val="0"/>
    <w:rPr>
      <w:rFonts w:eastAsia="方正仿宋"/>
      <w:kern w:val="2"/>
      <w:sz w:val="32"/>
      <w:szCs w:val="32"/>
      <w:lang w:val="en-US" w:eastAsia="zh-CN" w:bidi="ar-SA"/>
    </w:rPr>
  </w:style>
  <w:style w:type="character" w:customStyle="1" w:styleId="39">
    <w:name w:val="Footer Char1"/>
    <w:qFormat/>
    <w:locked/>
    <w:uiPriority w:val="0"/>
    <w:rPr>
      <w:sz w:val="18"/>
    </w:rPr>
  </w:style>
  <w:style w:type="paragraph" w:customStyle="1" w:styleId="40">
    <w:name w:val="Default"/>
    <w:qFormat/>
    <w:uiPriority w:val="0"/>
    <w:pPr>
      <w:widowControl w:val="0"/>
      <w:autoSpaceDE w:val="0"/>
      <w:autoSpaceDN w:val="0"/>
      <w:adjustRightInd w:val="0"/>
    </w:pPr>
    <w:rPr>
      <w:rFonts w:ascii="仿宋" w:hAnsi="Calibri" w:eastAsia="仿宋" w:cs="仿宋"/>
      <w:color w:val="000000"/>
      <w:sz w:val="24"/>
      <w:szCs w:val="24"/>
      <w:lang w:val="en-US" w:eastAsia="zh-CN" w:bidi="ar-SA"/>
    </w:rPr>
  </w:style>
  <w:style w:type="paragraph" w:customStyle="1" w:styleId="41">
    <w:name w:val="TOC 标题1"/>
    <w:basedOn w:val="2"/>
    <w:next w:val="1"/>
    <w:qFormat/>
    <w:uiPriority w:val="0"/>
    <w:pPr>
      <w:widowControl/>
      <w:spacing w:before="480" w:after="0" w:line="276" w:lineRule="auto"/>
      <w:jc w:val="left"/>
      <w:outlineLvl w:val="9"/>
    </w:pPr>
    <w:rPr>
      <w:rFonts w:ascii="Cambria" w:hAnsi="Cambria" w:cs="Cambria"/>
      <w:color w:val="365F91"/>
      <w:kern w:val="0"/>
      <w:sz w:val="28"/>
      <w:szCs w:val="28"/>
    </w:rPr>
  </w:style>
  <w:style w:type="character" w:customStyle="1" w:styleId="42">
    <w:name w:val="批注框文本 Char"/>
    <w:link w:val="11"/>
    <w:semiHidden/>
    <w:qFormat/>
    <w:locked/>
    <w:uiPriority w:val="0"/>
    <w:rPr>
      <w:rFonts w:eastAsia="宋体"/>
      <w:kern w:val="2"/>
      <w:sz w:val="18"/>
      <w:szCs w:val="18"/>
      <w:lang w:val="en-US" w:eastAsia="zh-CN" w:bidi="ar-SA"/>
    </w:rPr>
  </w:style>
  <w:style w:type="character" w:customStyle="1" w:styleId="43">
    <w:name w:val="批注文字 Char"/>
    <w:link w:val="6"/>
    <w:semiHidden/>
    <w:qFormat/>
    <w:locked/>
    <w:uiPriority w:val="0"/>
    <w:rPr>
      <w:rFonts w:eastAsia="宋体"/>
      <w:kern w:val="2"/>
      <w:sz w:val="21"/>
      <w:szCs w:val="21"/>
      <w:lang w:val="en-US" w:eastAsia="zh-CN" w:bidi="ar-SA"/>
    </w:rPr>
  </w:style>
  <w:style w:type="character" w:customStyle="1" w:styleId="44">
    <w:name w:val="批注主题 Char"/>
    <w:link w:val="18"/>
    <w:semiHidden/>
    <w:qFormat/>
    <w:locked/>
    <w:uiPriority w:val="0"/>
    <w:rPr>
      <w:rFonts w:eastAsia="宋体"/>
      <w:b/>
      <w:bCs/>
      <w:kern w:val="2"/>
      <w:sz w:val="21"/>
      <w:szCs w:val="21"/>
      <w:lang w:val="en-US" w:eastAsia="zh-CN" w:bidi="ar-SA"/>
    </w:rPr>
  </w:style>
  <w:style w:type="paragraph" w:customStyle="1" w:styleId="45">
    <w:name w:val="Char Char10"/>
    <w:basedOn w:val="1"/>
    <w:qFormat/>
    <w:uiPriority w:val="0"/>
    <w:pPr>
      <w:widowControl/>
      <w:snapToGrid w:val="0"/>
      <w:spacing w:line="240" w:lineRule="exact"/>
      <w:jc w:val="left"/>
    </w:pPr>
    <w:rPr>
      <w:rFonts w:ascii="Verdana" w:hAnsi="Verdana" w:eastAsia="宋体" w:cs="Verdana"/>
      <w:kern w:val="0"/>
      <w:sz w:val="20"/>
      <w:szCs w:val="20"/>
      <w:lang w:eastAsia="en-US"/>
    </w:rPr>
  </w:style>
  <w:style w:type="paragraph" w:customStyle="1" w:styleId="46">
    <w:name w:val="_Style 4"/>
    <w:basedOn w:val="1"/>
    <w:qFormat/>
    <w:uiPriority w:val="0"/>
    <w:pPr>
      <w:widowControl/>
      <w:snapToGrid w:val="0"/>
      <w:spacing w:line="240" w:lineRule="exact"/>
      <w:jc w:val="left"/>
    </w:pPr>
    <w:rPr>
      <w:rFonts w:ascii="Verdana" w:hAnsi="Verdana" w:eastAsia="宋体"/>
      <w:kern w:val="0"/>
      <w:sz w:val="20"/>
      <w:szCs w:val="20"/>
      <w:lang w:eastAsia="en-US"/>
    </w:rPr>
  </w:style>
</w:styles>
</file>

<file path=word/_rels/document.xml.rels><?xml version="1.0" encoding="UTF-8" standalone="yes"?>
<Relationships xmlns="http://schemas.openxmlformats.org/package/2006/relationships"><Relationship Id="rId9" Type="http://schemas.openxmlformats.org/officeDocument/2006/relationships/chart" Target="charts/chart4.xml"/><Relationship Id="rId8" Type="http://schemas.openxmlformats.org/officeDocument/2006/relationships/chart" Target="charts/chart3.xml"/><Relationship Id="rId7" Type="http://schemas.openxmlformats.org/officeDocument/2006/relationships/chart" Target="charts/chart2.xml"/><Relationship Id="rId6" Type="http://schemas.openxmlformats.org/officeDocument/2006/relationships/chart" Target="charts/chart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7.jpeg"/><Relationship Id="rId17" Type="http://schemas.openxmlformats.org/officeDocument/2006/relationships/image" Target="media/image6.jpeg"/><Relationship Id="rId16" Type="http://schemas.openxmlformats.org/officeDocument/2006/relationships/image" Target="media/image5.jpeg"/><Relationship Id="rId15" Type="http://schemas.openxmlformats.org/officeDocument/2006/relationships/image" Target="media/image4.jpeg"/><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jpeg"/><Relationship Id="rId11" Type="http://schemas.openxmlformats.org/officeDocument/2006/relationships/chart" Target="charts/chart6.xml"/><Relationship Id="rId10" Type="http://schemas.openxmlformats.org/officeDocument/2006/relationships/chart" Target="charts/chart5.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oleObject" Target="file:///D:\&#38389;&#27427;&#33402;\&#20915;&#31639;\2021&#24180;\&#20915;&#31639;&#20844;&#24320;\&#21306;&#36130;&#25919;&#23616;--&#20851;&#20110;&#39044;&#31639;&#21333;&#20301;&#25776;&#20889;&#26412;&#21333;&#20301;2021&#24180;&#24230;&#37096;&#38376;&#20915;&#31639;&#20844;&#24320;&#25991;&#23383;&#35828;&#26126;&#30340;&#36890;&#30693;\&#22270;&#34920;&#29983;&#25104;&#65288;&#21442;&#32771;&#20351;&#29992;&#65289;.XLS"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38389;&#27427;&#33402;\&#20915;&#31639;\2021&#24180;\&#20915;&#31639;&#20844;&#24320;\&#21306;&#36130;&#25919;&#23616;--&#20851;&#20110;&#39044;&#31639;&#21333;&#20301;&#25776;&#20889;&#26412;&#21333;&#20301;2021&#24180;&#24230;&#37096;&#38376;&#20915;&#31639;&#20844;&#24320;&#25991;&#23383;&#35828;&#26126;&#30340;&#36890;&#30693;\&#22270;&#34920;&#29983;&#25104;&#65288;&#21442;&#32771;&#20351;&#29992;&#65289;.XLS"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38389;&#27427;&#33402;\&#20915;&#31639;\2021&#24180;\&#20915;&#31639;&#20844;&#24320;\&#21306;&#36130;&#25919;&#23616;--&#20851;&#20110;&#39044;&#31639;&#21333;&#20301;&#25776;&#20889;&#26412;&#21333;&#20301;2021&#24180;&#24230;&#37096;&#38376;&#20915;&#31639;&#20844;&#24320;&#25991;&#23383;&#35828;&#26126;&#30340;&#36890;&#30693;\&#22270;&#34920;&#29983;&#25104;&#65288;&#21442;&#32771;&#20351;&#29992;&#65289;.XLS"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38389;&#27427;&#33402;\&#20915;&#31639;\2021&#24180;\&#20915;&#31639;&#20844;&#24320;\&#21306;&#36130;&#25919;&#23616;--&#20851;&#20110;&#39044;&#31639;&#21333;&#20301;&#25776;&#20889;&#26412;&#21333;&#20301;2021&#24180;&#24230;&#37096;&#38376;&#20915;&#31639;&#20844;&#24320;&#25991;&#23383;&#35828;&#26126;&#30340;&#36890;&#30693;\&#22270;&#34920;&#29983;&#25104;&#65288;&#21442;&#32771;&#20351;&#29992;&#65289;.XLS"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38389;&#27427;&#33402;\&#20915;&#31639;\2021&#24180;\&#20915;&#31639;&#20844;&#24320;\&#21306;&#36130;&#25919;&#23616;--&#20851;&#20110;&#39044;&#31639;&#21333;&#20301;&#25776;&#20889;&#26412;&#21333;&#20301;2021&#24180;&#24230;&#37096;&#38376;&#20915;&#31639;&#20844;&#24320;&#25991;&#23383;&#35828;&#26126;&#30340;&#36890;&#30693;\&#22270;&#34920;&#29983;&#25104;&#65288;&#21442;&#32771;&#20351;&#29992;&#65289;.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38389;&#27427;&#33402;\&#20915;&#31639;\2021&#24180;\&#20915;&#31639;&#20844;&#24320;\&#21306;&#36130;&#25919;&#23616;--&#20851;&#20110;&#39044;&#31639;&#21333;&#20301;&#25776;&#20889;&#26412;&#21333;&#20301;2021&#24180;&#24230;&#37096;&#38376;&#20915;&#31639;&#20844;&#24320;&#25991;&#23383;&#35828;&#26126;&#30340;&#36890;&#30693;\&#22270;&#34920;&#29983;&#25104;&#65288;&#21442;&#32771;&#20351;&#29992;&#65289;.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"收入"</c:f>
              <c:strCache>
                <c:ptCount val="1"/>
                <c:pt idx="0">
                  <c:v>收入</c:v>
                </c:pt>
              </c:strCache>
            </c:strRef>
          </c:tx>
          <c:invertIfNegative val="0"/>
          <c:dPt>
            <c:idx val="1"/>
            <c:invertIfNegative val="0"/>
            <c:bubble3D val="0"/>
            <c:explosion val="0"/>
            <c:spPr>
              <a:solidFill>
                <a:schemeClr val="accent1"/>
              </a:solidFill>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'[图表生成（参考使用）.XLS]表2 图表生成'!$B$7:$C$7</c:f>
              <c:strCache>
                <c:ptCount val="2"/>
                <c:pt idx="0">
                  <c:v>2021年</c:v>
                </c:pt>
                <c:pt idx="1">
                  <c:v>2020年</c:v>
                </c:pt>
              </c:strCache>
            </c:strRef>
          </c:cat>
          <c:val>
            <c:numRef>
              <c:f>'[图表生成（参考使用）.XLS]表2 图表生成'!$B$8:$C$8</c:f>
              <c:numCache>
                <c:formatCode>General</c:formatCode>
                <c:ptCount val="2"/>
                <c:pt idx="0">
                  <c:v>13025.35</c:v>
                </c:pt>
                <c:pt idx="1">
                  <c:v>10687.2</c:v>
                </c:pt>
              </c:numCache>
            </c:numRef>
          </c:val>
        </c:ser>
        <c:ser>
          <c:idx val="1"/>
          <c:order val="1"/>
          <c:tx>
            <c:strRef>
              <c:f>"支出"</c:f>
              <c:strCache>
                <c:ptCount val="1"/>
                <c:pt idx="0">
                  <c:v>支出</c:v>
                </c:pt>
              </c:strCache>
            </c:strRef>
          </c:tx>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ext>
            </c:extLst>
          </c:dLbls>
          <c:cat>
            <c:strRef>
              <c:f>'[图表生成（参考使用）.XLS]表2 图表生成'!$B$7:$C$7</c:f>
              <c:strCache>
                <c:ptCount val="2"/>
                <c:pt idx="0">
                  <c:v>2021年</c:v>
                </c:pt>
                <c:pt idx="1">
                  <c:v>2020年</c:v>
                </c:pt>
              </c:strCache>
            </c:strRef>
          </c:cat>
          <c:val>
            <c:numRef>
              <c:f>'[图表生成（参考使用）.XLS]表2 图表生成'!$B$9:$C$9</c:f>
              <c:numCache>
                <c:formatCode>#,##0.00</c:formatCode>
                <c:ptCount val="2"/>
                <c:pt idx="0">
                  <c:v>13505.66</c:v>
                </c:pt>
                <c:pt idx="1">
                  <c:v>11787.69</c:v>
                </c:pt>
              </c:numCache>
            </c:numRef>
          </c:val>
        </c:ser>
        <c:dLbls>
          <c:showLegendKey val="0"/>
          <c:showVal val="1"/>
          <c:showCatName val="0"/>
          <c:showSerName val="0"/>
          <c:showPercent val="0"/>
          <c:showBubbleSize val="0"/>
        </c:dLbls>
        <c:gapWidth val="150"/>
        <c:overlap val="0"/>
        <c:axId val="965084398"/>
        <c:axId val="758540118"/>
      </c:barChart>
      <c:catAx>
        <c:axId val="965084398"/>
        <c:scaling>
          <c:orientation val="minMax"/>
        </c:scaling>
        <c:delete val="0"/>
        <c:axPos val="b"/>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758540118"/>
        <c:crosses val="autoZero"/>
        <c:auto val="1"/>
        <c:lblAlgn val="ctr"/>
        <c:lblOffset val="100"/>
        <c:noMultiLvlLbl val="0"/>
      </c:catAx>
      <c:valAx>
        <c:axId val="758540118"/>
        <c:scaling>
          <c:orientation val="minMax"/>
        </c:scaling>
        <c:delete val="0"/>
        <c:axPos val="l"/>
        <c:majorGridlines>
          <c:spPr>
            <a:ln w="6350" cap="flat" cmpd="sng" algn="ct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prstDash val="solid"/>
              <a:round/>
            </a:ln>
          </c:spPr>
        </c:majorGridlines>
        <c:numFmt formatCode="General"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965084398"/>
        <c:crosses val="autoZero"/>
        <c:crossBetween val="between"/>
      </c:valAx>
    </c:plotArea>
    <c:legend>
      <c:legendPos val="b"/>
      <c:layout/>
      <c:overlay val="0"/>
      <c:txPr>
        <a:bodyPr rot="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gap"/>
    <c:showDLblsOverMax val="0"/>
  </c:chart>
  <c:txPr>
    <a:bodyPr wrap="square"/>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0"/>
          <c:dPt>
            <c:idx val="0"/>
            <c:bubble3D val="0"/>
            <c:explosion val="0"/>
          </c:dPt>
          <c:dPt>
            <c:idx val="1"/>
            <c:bubble3D val="0"/>
            <c:explosion val="0"/>
          </c:dPt>
          <c:dPt>
            <c:idx val="2"/>
            <c:bubble3D val="0"/>
            <c:explosion val="0"/>
          </c:dPt>
          <c:dPt>
            <c:idx val="3"/>
            <c:bubble3D val="0"/>
            <c:explosion val="0"/>
          </c:dPt>
          <c:dPt>
            <c:idx val="4"/>
            <c:bubble3D val="0"/>
            <c:explosion val="0"/>
          </c:dPt>
          <c:dLbls>
            <c:dLbl>
              <c:idx val="0"/>
              <c:layout>
                <c:manualLayout>
                  <c:x val="0.121100917431193"/>
                  <c:y val="2.97220490775467e-17"/>
                </c:manualLayout>
              </c:layout>
              <c:dLblPos val="bestFit"/>
              <c:showLegendKey val="0"/>
              <c:showVal val="1"/>
              <c:showCatName val="1"/>
              <c:showSerName val="0"/>
              <c:showPercent val="1"/>
              <c:showBubbleSize val="0"/>
              <c:extLst>
                <c:ext xmlns:c15="http://schemas.microsoft.com/office/drawing/2012/chart" uri="{CE6537A1-D6FC-4f65-9D91-7224C49458BB}">
                  <c15:layout/>
                </c:ext>
              </c:extLst>
            </c:dLbl>
            <c:dLbl>
              <c:idx val="1"/>
              <c:layout>
                <c:manualLayout>
                  <c:x val="-0.159633027522936"/>
                  <c:y val="-0.0980392156862745"/>
                </c:manualLayout>
              </c:layout>
              <c:dLblPos val="bestFit"/>
              <c:showLegendKey val="0"/>
              <c:showVal val="1"/>
              <c:showCatName val="1"/>
              <c:showSerName val="0"/>
              <c:showPercent val="1"/>
              <c:showBubbleSize val="0"/>
              <c:extLst>
                <c:ext xmlns:c15="http://schemas.microsoft.com/office/drawing/2012/chart" uri="{CE6537A1-D6FC-4f65-9D91-7224C49458BB}">
                  <c15:layout/>
                </c:ext>
              </c:extLst>
            </c:dLbl>
            <c:dLbl>
              <c:idx val="2"/>
              <c:layout>
                <c:manualLayout>
                  <c:x val="-0.130275229357798"/>
                  <c:y val="0"/>
                </c:manualLayout>
              </c:layout>
              <c:dLblPos val="bestFit"/>
              <c:showLegendKey val="0"/>
              <c:showVal val="1"/>
              <c:showCatName val="1"/>
              <c:showSerName val="0"/>
              <c:showPercent val="1"/>
              <c:showBubbleSize val="0"/>
              <c:extLst>
                <c:ext xmlns:c15="http://schemas.microsoft.com/office/drawing/2012/chart" uri="{CE6537A1-D6FC-4f65-9D91-7224C49458BB}">
                  <c15:layout/>
                </c:ext>
              </c:extLst>
            </c:dLbl>
            <c:numFmt formatCode="0.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shade val="95000"/>
                          <a:satMod val="105000"/>
                        </a:schemeClr>
                      </a:solidFill>
                      <a:prstDash val="solid"/>
                      <a:round/>
                    </a:ln>
                    <a:effectLst/>
                  </c:spPr>
                </c15:leaderLines>
              </c:ext>
            </c:extLst>
          </c:dLbls>
          <c:cat>
            <c:strRef>
              <c:f>'[图表生成（参考使用）.XLS]表2 图表生成'!$B$15:$F$15</c:f>
              <c:strCache>
                <c:ptCount val="5"/>
                <c:pt idx="0" c:formatCode="@">
                  <c:v>一般公共预算财政拨款收入</c:v>
                </c:pt>
                <c:pt idx="1" c:formatCode="@">
                  <c:v>事业收入</c:v>
                </c:pt>
                <c:pt idx="2" c:formatCode="@">
                  <c:v>其他收入</c:v>
                </c:pt>
              </c:strCache>
            </c:strRef>
          </c:cat>
          <c:val>
            <c:numRef>
              <c:f>'[图表生成（参考使用）.XLS]表2 图表生成'!$B$16:$F$16</c:f>
              <c:numCache>
                <c:formatCode>#,##0.00_ </c:formatCode>
                <c:ptCount val="5"/>
                <c:pt idx="0">
                  <c:v>1523.52</c:v>
                </c:pt>
                <c:pt idx="1">
                  <c:v>11327.24</c:v>
                </c:pt>
                <c:pt idx="2" c:formatCode="#,##0.00">
                  <c:v>174.59</c:v>
                </c:pt>
              </c:numCache>
            </c:numRef>
          </c:val>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txPr>
    <a:bodyPr wrap="square"/>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perspective val="30"/>
    </c:view3D>
    <c:floor>
      <c:thickness val="0"/>
    </c:floor>
    <c:sideWall>
      <c:thickness val="0"/>
    </c:sideWall>
    <c:backWall>
      <c:thickness val="0"/>
    </c:backWall>
    <c:plotArea>
      <c:layout/>
      <c:pie3DChart>
        <c:varyColors val="1"/>
        <c:ser>
          <c:idx val="0"/>
          <c:order val="0"/>
          <c:explosion val="0"/>
          <c:dPt>
            <c:idx val="0"/>
            <c:bubble3D val="0"/>
            <c:explosion val="0"/>
            <c:spPr>
              <a:solidFill>
                <a:schemeClr val="accent3">
                  <a:lumMod val="75000"/>
                </a:schemeClr>
              </a:solidFill>
            </c:spPr>
          </c:dPt>
          <c:dPt>
            <c:idx val="1"/>
            <c:bubble3D val="0"/>
            <c:explosion val="0"/>
          </c:dPt>
          <c:dPt>
            <c:idx val="2"/>
            <c:bubble3D val="0"/>
            <c:explosion val="0"/>
          </c:dPt>
          <c:dLbls>
            <c:dLbl>
              <c:idx val="0"/>
              <c:layout>
                <c:manualLayout>
                  <c:x val="0.195144849785408"/>
                  <c:y val="-0.0170019835647492"/>
                </c:manualLayout>
              </c:layout>
              <c:dLblPos val="bestFit"/>
              <c:showLegendKey val="0"/>
              <c:showVal val="1"/>
              <c:showCatName val="1"/>
              <c:showSerName val="0"/>
              <c:showPercent val="1"/>
              <c:showBubbleSize val="0"/>
              <c:extLst>
                <c:ext xmlns:c15="http://schemas.microsoft.com/office/drawing/2012/chart" uri="{CE6537A1-D6FC-4f65-9D91-7224C49458BB}">
                  <c15:layout/>
                </c:ext>
              </c:extLst>
            </c:dLbl>
            <c:numFmt formatCode="0.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1"/>
            <c:showSerName val="0"/>
            <c:showPercent val="1"/>
            <c:showBubbleSize val="0"/>
            <c:showLeaderLines val="1"/>
            <c:extLst>
              <c:ext xmlns:c15="http://schemas.microsoft.com/office/drawing/2012/chart" uri="{CE6537A1-D6FC-4f65-9D91-7224C49458BB}">
                <c15:layout/>
                <c15:showLeaderLines val="1"/>
                <c15:leaderLines>
                  <c:spPr>
                    <a:ln w="9525" cap="flat" cmpd="sng" algn="ctr">
                      <a:solidFill>
                        <a:schemeClr val="tx1">
                          <a:shade val="95000"/>
                          <a:satMod val="105000"/>
                        </a:schemeClr>
                      </a:solidFill>
                      <a:prstDash val="solid"/>
                      <a:round/>
                    </a:ln>
                    <a:effectLst/>
                  </c:spPr>
                </c15:leaderLines>
              </c:ext>
            </c:extLst>
          </c:dLbls>
          <c:cat>
            <c:strRef>
              <c:f>'[图表生成（参考使用）.XLS]表2 图表生成'!$B$23:$B$25</c:f>
              <c:strCache>
                <c:ptCount val="3"/>
                <c:pt idx="0">
                  <c:v>基本支出</c:v>
                </c:pt>
                <c:pt idx="1">
                  <c:v>项目支出</c:v>
                </c:pt>
              </c:strCache>
            </c:strRef>
          </c:cat>
          <c:val>
            <c:numRef>
              <c:f>'[图表生成（参考使用）.XLS]表2 图表生成'!$C$23:$C$25</c:f>
              <c:numCache>
                <c:formatCode>#,##0.00</c:formatCode>
                <c:ptCount val="3"/>
                <c:pt idx="0">
                  <c:v>12683.1</c:v>
                </c:pt>
                <c:pt idx="1">
                  <c:v>822.56</c:v>
                </c:pt>
              </c:numCache>
            </c:numRef>
          </c:val>
        </c:ser>
        <c:dLbls>
          <c:showLegendKey val="0"/>
          <c:showVal val="0"/>
          <c:showCatName val="0"/>
          <c:showSerName val="0"/>
          <c:showPercent val="0"/>
          <c:showBubbleSize val="0"/>
        </c:dLbls>
      </c:pie3DChart>
      <c:spPr>
        <a:noFill/>
        <a:ln>
          <a:noFill/>
        </a:ln>
        <a:effectLst/>
      </c:spPr>
    </c:plotArea>
    <c:plotVisOnly val="1"/>
    <c:dispBlanksAs val="gap"/>
    <c:showDLblsOverMax val="0"/>
  </c:chart>
  <c:txPr>
    <a:bodyPr wrap="square"/>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spPr>
            <a:solidFill>
              <a:schemeClr val="accent1"/>
            </a:solidFill>
          </c:spPr>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'[图表生成（参考使用）.XLS]表2 图表生成'!$B$31:$C$31</c:f>
              <c:strCache>
                <c:ptCount val="2"/>
                <c:pt idx="0">
                  <c:v>2021年</c:v>
                </c:pt>
                <c:pt idx="1">
                  <c:v>2020年</c:v>
                </c:pt>
              </c:strCache>
            </c:strRef>
          </c:cat>
          <c:val>
            <c:numRef>
              <c:f>'[图表生成（参考使用）.XLS]表2 图表生成'!$B$32:$C$32</c:f>
              <c:numCache>
                <c:formatCode>#,##0.00</c:formatCode>
                <c:ptCount val="2"/>
                <c:pt idx="0">
                  <c:v>1523.52</c:v>
                </c:pt>
                <c:pt idx="1">
                  <c:v>1975.14</c:v>
                </c:pt>
              </c:numCache>
            </c:numRef>
          </c:val>
        </c:ser>
        <c:dLbls>
          <c:showLegendKey val="0"/>
          <c:showVal val="0"/>
          <c:showCatName val="0"/>
          <c:showSerName val="0"/>
          <c:showPercent val="0"/>
          <c:showBubbleSize val="0"/>
        </c:dLbls>
        <c:gapWidth val="150"/>
        <c:overlap val="100"/>
        <c:axId val="158202916"/>
        <c:axId val="535675074"/>
      </c:barChart>
      <c:catAx>
        <c:axId val="158202916"/>
        <c:scaling>
          <c:orientation val="minMax"/>
        </c:scaling>
        <c:delete val="0"/>
        <c:axPos val="b"/>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535675074"/>
        <c:crosses val="autoZero"/>
        <c:auto val="1"/>
        <c:lblAlgn val="ctr"/>
        <c:lblOffset val="100"/>
        <c:noMultiLvlLbl val="0"/>
      </c:catAx>
      <c:valAx>
        <c:axId val="535675074"/>
        <c:scaling>
          <c:orientation val="minMax"/>
        </c:scaling>
        <c:delete val="0"/>
        <c:axPos val="l"/>
        <c:majorGridlines>
          <c:spPr>
            <a:ln w="9525" cap="flat" cmpd="sng" algn="ct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prstDash val="solid"/>
              <a:round/>
            </a:ln>
          </c:spPr>
        </c:majorGridlines>
        <c:numFmt formatCode="#,##0.00"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158202916"/>
        <c:crosses val="autoZero"/>
        <c:crossBetween val="between"/>
      </c:valAx>
    </c:plotArea>
    <c:plotVisOnly val="1"/>
    <c:dispBlanksAs val="gap"/>
    <c:showDLblsOverMax val="0"/>
  </c:chart>
  <c:txPr>
    <a:bodyPr wrap="square"/>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invertIfNegative val="0"/>
          <c:dLbls>
            <c:numFmt formatCode="General" sourceLinked="1"/>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inEnd"/>
            <c:showLegendKey val="0"/>
            <c:showVal val="1"/>
            <c:showCatName val="0"/>
            <c:showSerName val="0"/>
            <c:showPercent val="0"/>
            <c:showBubbleSize val="0"/>
            <c:showLeaderLines val="0"/>
            <c:extLst>
              <c:ext xmlns:c15="http://schemas.microsoft.com/office/drawing/2012/chart" uri="{CE6537A1-D6FC-4f65-9D91-7224C49458BB}">
                <c15:layout/>
                <c15:showLeaderLines val="0"/>
                <c15:leaderLines/>
              </c:ext>
            </c:extLst>
          </c:dLbls>
          <c:cat>
            <c:strRef>
              <c:f>'[图表生成（参考使用）.XLS]表2 图表生成'!$B$38:$C$38</c:f>
              <c:strCache>
                <c:ptCount val="2"/>
                <c:pt idx="0">
                  <c:v>2021年</c:v>
                </c:pt>
                <c:pt idx="1">
                  <c:v>2020年</c:v>
                </c:pt>
              </c:strCache>
            </c:strRef>
          </c:cat>
          <c:val>
            <c:numRef>
              <c:f>'[图表生成（参考使用）.XLS]表2 图表生成'!$B$39:$C$39</c:f>
              <c:numCache>
                <c:formatCode>#,##0.00</c:formatCode>
                <c:ptCount val="2"/>
                <c:pt idx="0">
                  <c:v>1523.52</c:v>
                </c:pt>
                <c:pt idx="1">
                  <c:v>1188.9</c:v>
                </c:pt>
              </c:numCache>
            </c:numRef>
          </c:val>
        </c:ser>
        <c:dLbls>
          <c:showLegendKey val="0"/>
          <c:showVal val="0"/>
          <c:showCatName val="0"/>
          <c:showSerName val="0"/>
          <c:showPercent val="0"/>
          <c:showBubbleSize val="0"/>
        </c:dLbls>
        <c:gapWidth val="150"/>
        <c:overlap val="100"/>
        <c:axId val="97071427"/>
        <c:axId val="183376801"/>
      </c:barChart>
      <c:catAx>
        <c:axId val="97071427"/>
        <c:scaling>
          <c:orientation val="minMax"/>
        </c:scaling>
        <c:delete val="0"/>
        <c:axPos val="b"/>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183376801"/>
        <c:crosses val="autoZero"/>
        <c:auto val="1"/>
        <c:lblAlgn val="ctr"/>
        <c:lblOffset val="100"/>
        <c:noMultiLvlLbl val="0"/>
      </c:catAx>
      <c:valAx>
        <c:axId val="183376801"/>
        <c:scaling>
          <c:orientation val="minMax"/>
        </c:scaling>
        <c:delete val="0"/>
        <c:axPos val="l"/>
        <c:majorGridlines>
          <c:spPr>
            <a:ln w="9525" cap="flat" cmpd="sng" algn="ctr">
              <a:gradFill>
                <a:gsLst>
                  <a:gs pos="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prstDash val="solid"/>
              <a:round/>
            </a:ln>
          </c:spPr>
        </c:majorGridlines>
        <c:numFmt formatCode="#,##0.00" sourceLinked="1"/>
        <c:majorTickMark val="out"/>
        <c:minorTickMark val="none"/>
        <c:tickLblPos val="nextTo"/>
        <c:txPr>
          <a:bodyPr rot="-60000000" spcFirstLastPara="0" vertOverflow="ellipsis" vert="horz" wrap="square" anchor="ctr" anchorCtr="1"/>
          <a:lstStyle/>
          <a:p>
            <a:pPr>
              <a:defRPr lang="zh-CN" sz="1000" b="0" i="0" u="none" strike="noStrike" kern="1200" baseline="0">
                <a:solidFill>
                  <a:schemeClr val="tx1"/>
                </a:solidFill>
                <a:latin typeface="+mn-lt"/>
                <a:ea typeface="+mn-ea"/>
                <a:cs typeface="+mn-cs"/>
              </a:defRPr>
            </a:pPr>
          </a:p>
        </c:txPr>
        <c:crossAx val="97071427"/>
        <c:crosses val="autoZero"/>
        <c:crossBetween val="between"/>
      </c:valAx>
    </c:plotArea>
    <c:plotVisOnly val="1"/>
    <c:dispBlanksAs val="gap"/>
    <c:showDLblsOverMax val="0"/>
  </c:chart>
  <c:txPr>
    <a:bodyPr wrap="square"/>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spPr>
            <a:solidFill>
              <a:srgbClr val="C00000"/>
            </a:solidFill>
          </c:spPr>
          <c:explosion val="0"/>
          <c:dPt>
            <c:idx val="0"/>
            <c:bubble3D val="0"/>
            <c:explosion val="0"/>
            <c:spPr>
              <a:solidFill>
                <a:srgbClr val="C00000"/>
              </a:solidFill>
            </c:spPr>
          </c:dPt>
          <c:dPt>
            <c:idx val="1"/>
            <c:bubble3D val="0"/>
            <c:explosion val="0"/>
            <c:spPr>
              <a:solidFill>
                <a:srgbClr val="C00000"/>
              </a:solidFill>
            </c:spPr>
          </c:dPt>
          <c:dPt>
            <c:idx val="2"/>
            <c:bubble3D val="0"/>
            <c:explosion val="0"/>
            <c:spPr>
              <a:solidFill>
                <a:srgbClr val="C00000"/>
              </a:solidFill>
            </c:spPr>
          </c:dPt>
          <c:dPt>
            <c:idx val="3"/>
            <c:bubble3D val="0"/>
            <c:explosion val="0"/>
            <c:spPr>
              <a:solidFill>
                <a:srgbClr val="C00000"/>
              </a:solidFill>
            </c:spPr>
          </c:dPt>
          <c:dPt>
            <c:idx val="4"/>
            <c:bubble3D val="0"/>
            <c:explosion val="0"/>
            <c:spPr>
              <a:solidFill>
                <a:srgbClr val="C00000"/>
              </a:solidFill>
            </c:spPr>
          </c:dPt>
          <c:dPt>
            <c:idx val="5"/>
            <c:bubble3D val="0"/>
            <c:explosion val="0"/>
            <c:spPr>
              <a:solidFill>
                <a:srgbClr val="C00000"/>
              </a:solidFill>
            </c:spPr>
          </c:dPt>
          <c:dPt>
            <c:idx val="6"/>
            <c:bubble3D val="0"/>
            <c:explosion val="0"/>
            <c:spPr>
              <a:solidFill>
                <a:srgbClr val="C00000"/>
              </a:solidFill>
            </c:spPr>
          </c:dPt>
          <c:dPt>
            <c:idx val="7"/>
            <c:bubble3D val="0"/>
            <c:explosion val="0"/>
            <c:spPr>
              <a:solidFill>
                <a:srgbClr val="C00000"/>
              </a:solidFill>
            </c:spPr>
          </c:dPt>
          <c:dPt>
            <c:idx val="8"/>
            <c:bubble3D val="0"/>
            <c:explosion val="0"/>
            <c:spPr>
              <a:solidFill>
                <a:srgbClr val="C00000"/>
              </a:solidFill>
            </c:spPr>
          </c:dPt>
          <c:dPt>
            <c:idx val="9"/>
            <c:bubble3D val="0"/>
            <c:explosion val="0"/>
            <c:spPr>
              <a:solidFill>
                <a:srgbClr val="C00000"/>
              </a:solidFill>
            </c:spPr>
          </c:dPt>
          <c:dPt>
            <c:idx val="10"/>
            <c:bubble3D val="0"/>
            <c:explosion val="0"/>
            <c:spPr>
              <a:solidFill>
                <a:srgbClr val="C00000"/>
              </a:solidFill>
            </c:spPr>
          </c:dPt>
          <c:dLbls>
            <c:dLbl>
              <c:idx val="0"/>
              <c:layout>
                <c:manualLayout>
                  <c:x val="0.326959847036329"/>
                  <c:y val="-0.0590062111801242"/>
                </c:manualLayout>
              </c:layout>
              <c:dLblPos val="bestFit"/>
              <c:showLegendKey val="0"/>
              <c:showVal val="1"/>
              <c:showCatName val="1"/>
              <c:showSerName val="0"/>
              <c:showPercent val="1"/>
              <c:showBubbleSize val="0"/>
              <c:separator>
</c:separator>
              <c:extLst>
                <c:ext xmlns:c15="http://schemas.microsoft.com/office/drawing/2012/chart" uri="{CE6537A1-D6FC-4f65-9D91-7224C49458BB}">
                  <c15:layout/>
                </c:ext>
              </c:extLst>
            </c:dLbl>
            <c:numFmt formatCode="0.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outEnd"/>
            <c:showLegendKey val="0"/>
            <c:showVal val="1"/>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shade val="95000"/>
                          <a:satMod val="105000"/>
                        </a:schemeClr>
                      </a:solidFill>
                      <a:prstDash val="solid"/>
                      <a:round/>
                    </a:ln>
                    <a:effectLst/>
                  </c:spPr>
                </c15:leaderLines>
              </c:ext>
            </c:extLst>
          </c:dLbls>
          <c:cat>
            <c:strRef>
              <c:f>'[图表生成（参考使用）.XLS]表2 图表生成'!$B$44:$B$54</c:f>
              <c:strCache>
                <c:ptCount val="11"/>
                <c:pt idx="0">
                  <c:v>卫生健康支出</c:v>
                </c:pt>
              </c:strCache>
            </c:strRef>
          </c:cat>
          <c:val>
            <c:numRef>
              <c:f>'[图表生成（参考使用）.XLS]表2 图表生成'!$C$44:$C$54</c:f>
              <c:numCache>
                <c:formatCode>#,##0.00</c:formatCode>
                <c:ptCount val="11"/>
                <c:pt idx="0">
                  <c:v>1523.52</c:v>
                </c:pt>
              </c:numCache>
            </c:numRef>
          </c:val>
        </c:ser>
        <c:dLbls>
          <c:showLegendKey val="0"/>
          <c:showVal val="0"/>
          <c:showCatName val="0"/>
          <c:showSerName val="0"/>
          <c:showPercent val="0"/>
          <c:showBubbleSize val="0"/>
          <c:showLeaderLines val="1"/>
        </c:dLbls>
        <c:firstSliceAng val="0"/>
      </c:pieChart>
      <c:spPr>
        <a:noFill/>
        <a:ln>
          <a:noFill/>
        </a:ln>
        <a:effectLst/>
      </c:spPr>
    </c:plotArea>
    <c:plotVisOnly val="1"/>
    <c:dispBlanksAs val="gap"/>
    <c:showDLblsOverMax val="0"/>
  </c:chart>
  <c:txPr>
    <a:bodyPr wrap="square"/>
    <a:lstStyle/>
    <a:p>
      <a:pPr>
        <a:defRPr lang="zh-CN"/>
      </a:pPr>
    </a:p>
  </c:txPr>
  <c:externalData r:id="rId1">
    <c:autoUpdate val="0"/>
  </c:externalData>
</c:chartSpace>
</file>

<file path=word/theme/theme1.xml><?xml version="1.0" encoding="utf-8"?>
<a:theme xmlns:a="http://schemas.openxmlformats.org/drawingml/2006/main" name="Office 主题​​">
  <a:themeElements>
    <a:clrScheme name="Office">
      <a:dk1>
        <a:sysClr val="windowText" lastClr="000000"/>
      </a:dk1>
      <a:lt1>
        <a:sysClr val="window" lastClr="C6DFB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24</Pages>
  <Words>1521</Words>
  <Characters>8676</Characters>
  <Lines>72</Lines>
  <Paragraphs>20</Paragraphs>
  <TotalTime>2</TotalTime>
  <ScaleCrop>false</ScaleCrop>
  <LinksUpToDate>false</LinksUpToDate>
  <CharactersWithSpaces>10177</CharactersWithSpaces>
  <Application>WPS Office_11.1.0.10463_F1E327BC-269C-435d-A152-05C5408002CA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2021-08-18T02:22:00Z</dcterms:created>
  <dc:creator>微软用户</dc:creator>
  <cp:lastModifiedBy>Administrator</cp:lastModifiedBy>
  <cp:lastPrinted>2022-07-12T06:50:00Z</cp:lastPrinted>
  <dcterms:modified xsi:type="dcterms:W3CDTF">2022-11-09T07:16:15Z</dcterms:modified>
  <dc:title>成财库〔2014〕14号</dc:title>
  <cp:revision>36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2052-11.1.0.10463</vt:lpwstr>
  </property>
  <property fmtid="{D5CDD505-2E9C-101B-9397-08002B2CF9AE}" pid="3" name="ICV">
    <vt:lpwstr>5B6EF48BF9A148849A5A86B0181F578A</vt:lpwstr>
  </property>
</Properties>
</file>