
<file path=[Content_Types].xml><?xml version="1.0" encoding="utf-8"?>
<Types xmlns="http://schemas.openxmlformats.org/package/2006/content-types">
  <Default Extension="xlsx" ContentType="application/vnd.openxmlformats-officedocument.spreadsheetml.sheet"/>
  <Default Extension="emf" ContentType="image/x-e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jc w:val="center"/>
        <w:rPr>
          <w:rFonts w:ascii="方正小标宋_GBK" w:eastAsia="方正小标宋_GBK"/>
          <w:sz w:val="72"/>
          <w:szCs w:val="72"/>
        </w:rPr>
      </w:pPr>
      <w:bookmarkStart w:id="0" w:name="_Toc15377425"/>
      <w:bookmarkStart w:id="1" w:name="_Toc15396597"/>
      <w:bookmarkStart w:id="2" w:name="_Toc15396475"/>
      <w:bookmarkStart w:id="3" w:name="_Toc15377193"/>
      <w:bookmarkStart w:id="4" w:name="_Toc15378441"/>
      <w:bookmarkStart w:id="5" w:name="_Toc19087152"/>
      <w:r>
        <w:rPr>
          <w:rFonts w:hint="eastAsia" w:ascii="方正小标宋_GBK" w:eastAsia="方正小标宋_GBK"/>
          <w:sz w:val="72"/>
          <w:szCs w:val="72"/>
        </w:rPr>
        <w:t>2020年度</w:t>
      </w:r>
      <w:bookmarkEnd w:id="0"/>
      <w:bookmarkEnd w:id="1"/>
      <w:bookmarkEnd w:id="2"/>
      <w:bookmarkEnd w:id="3"/>
      <w:bookmarkEnd w:id="4"/>
      <w:bookmarkEnd w:id="5"/>
      <w:bookmarkStart w:id="6" w:name="_Toc15377194"/>
      <w:bookmarkStart w:id="7" w:name="_Toc19087153"/>
      <w:bookmarkStart w:id="8" w:name="_Toc15377426"/>
      <w:bookmarkStart w:id="9" w:name="_Toc15396598"/>
      <w:bookmarkStart w:id="10" w:name="_Toc15378442"/>
      <w:bookmarkStart w:id="11" w:name="_Toc15396476"/>
    </w:p>
    <w:p>
      <w:pPr>
        <w:jc w:val="center"/>
        <w:rPr>
          <w:rFonts w:ascii="方正小标宋_GBK" w:eastAsia="方正小标宋_GBK"/>
          <w:sz w:val="72"/>
          <w:szCs w:val="72"/>
        </w:rPr>
      </w:pPr>
      <w:r>
        <w:rPr>
          <w:rFonts w:hint="eastAsia" w:ascii="方正小标宋_GBK" w:eastAsia="方正小标宋_GBK"/>
          <w:sz w:val="72"/>
          <w:szCs w:val="72"/>
        </w:rPr>
        <w:t>成都市青羊区成都儿童专科医院</w:t>
      </w:r>
      <w:bookmarkStart w:id="12" w:name="_Toc15306268"/>
      <w:r>
        <w:rPr>
          <w:rFonts w:hint="eastAsia" w:ascii="方正小标宋_GBK" w:eastAsia="方正小标宋_GBK"/>
          <w:sz w:val="72"/>
          <w:szCs w:val="72"/>
        </w:rPr>
        <w:t>部门决算</w:t>
      </w:r>
      <w:bookmarkEnd w:id="6"/>
      <w:bookmarkEnd w:id="7"/>
      <w:bookmarkEnd w:id="8"/>
      <w:bookmarkEnd w:id="9"/>
      <w:bookmarkEnd w:id="10"/>
      <w:bookmarkEnd w:id="11"/>
      <w:bookmarkEnd w:id="12"/>
      <w:bookmarkStart w:id="13" w:name="_Toc19087154"/>
    </w:p>
    <w:bookmarkEnd w:id="13"/>
    <w:p>
      <w:pPr>
        <w:topLinePunct/>
        <w:snapToGrid w:val="0"/>
        <w:jc w:val="center"/>
        <w:rPr>
          <w:rFonts w:eastAsia="方正小标宋_GBK"/>
          <w:color w:val="000000"/>
          <w:sz w:val="48"/>
          <w:szCs w:val="48"/>
        </w:rPr>
      </w:pPr>
      <w:r>
        <w:rPr>
          <w:rFonts w:eastAsia="方正小标宋简体"/>
          <w:color w:val="000000"/>
          <w:sz w:val="36"/>
          <w:szCs w:val="36"/>
        </w:rPr>
        <w:br w:type="page"/>
      </w:r>
      <w:r>
        <w:rPr>
          <w:rFonts w:eastAsia="方正小标宋_GBK"/>
          <w:color w:val="000000"/>
          <w:sz w:val="48"/>
          <w:szCs w:val="48"/>
        </w:rPr>
        <w:t>目录</w:t>
      </w:r>
    </w:p>
    <w:p>
      <w:pPr>
        <w:pStyle w:val="14"/>
      </w:pPr>
      <w:r>
        <w:rPr>
          <w:rFonts w:hint="eastAsia"/>
        </w:rPr>
        <w:t>公开时间：202</w:t>
      </w:r>
      <w:r>
        <w:rPr>
          <w:rFonts w:hint="eastAsia"/>
          <w:lang w:val="en-US" w:eastAsia="zh-CN"/>
        </w:rPr>
        <w:t>1</w:t>
      </w:r>
      <w:r>
        <w:rPr>
          <w:rFonts w:hint="eastAsia"/>
        </w:rPr>
        <w:t>年</w:t>
      </w:r>
      <w:r>
        <w:rPr>
          <w:rFonts w:hint="eastAsia"/>
          <w:lang w:val="en-US" w:eastAsia="zh-CN"/>
        </w:rPr>
        <w:t>11</w:t>
      </w:r>
      <w:r>
        <w:rPr>
          <w:rFonts w:hint="eastAsia"/>
        </w:rPr>
        <w:t>月</w:t>
      </w:r>
      <w:r>
        <w:rPr>
          <w:rFonts w:hint="eastAsia"/>
          <w:lang w:val="en-US" w:eastAsia="zh-CN"/>
        </w:rPr>
        <w:t>24</w:t>
      </w:r>
      <w:r>
        <w:rPr>
          <w:rFonts w:hint="eastAsia"/>
        </w:rPr>
        <w:t>日</w:t>
      </w:r>
      <w:bookmarkStart w:id="74" w:name="_GoBack"/>
      <w:bookmarkEnd w:id="74"/>
    </w:p>
    <w:p>
      <w:pPr>
        <w:pStyle w:val="14"/>
        <w:rPr>
          <w:rFonts w:asciiTheme="minorHAnsi" w:hAnsiTheme="minorHAnsi" w:eastAsiaTheme="minorEastAsia" w:cstheme="minorBidi"/>
          <w:bCs w:val="0"/>
          <w:color w:val="auto"/>
          <w:sz w:val="21"/>
          <w:szCs w:val="22"/>
        </w:rPr>
      </w:pPr>
      <w:r>
        <w:fldChar w:fldCharType="begin"/>
      </w:r>
      <w:r>
        <w:instrText xml:space="preserve"> TOC \o "1-2" \h \z \u </w:instrText>
      </w:r>
      <w:r>
        <w:fldChar w:fldCharType="separate"/>
      </w:r>
      <w:r>
        <w:fldChar w:fldCharType="begin"/>
      </w:r>
      <w:r>
        <w:instrText xml:space="preserve"> HYPERLINK \l "_Toc80711326" </w:instrText>
      </w:r>
      <w:r>
        <w:fldChar w:fldCharType="separate"/>
      </w:r>
      <w:r>
        <w:rPr>
          <w:rStyle w:val="24"/>
          <w:rFonts w:hint="eastAsia" w:ascii="方正黑体_GBK"/>
        </w:rPr>
        <w:t>第一部分单位概况</w:t>
      </w:r>
      <w:r>
        <w:tab/>
      </w:r>
      <w:r>
        <w:fldChar w:fldCharType="begin"/>
      </w:r>
      <w:r>
        <w:instrText xml:space="preserve"> PAGEREF _Toc80711326 \h </w:instrText>
      </w:r>
      <w:r>
        <w:fldChar w:fldCharType="separate"/>
      </w:r>
      <w:r>
        <w:t>4</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"_Toc80711327" </w:instrText>
      </w:r>
      <w:r>
        <w:fldChar w:fldCharType="separate"/>
      </w:r>
      <w:r>
        <w:rPr>
          <w:rStyle w:val="24"/>
          <w:rFonts w:hint="eastAsia" w:eastAsia="方正黑体_GBK"/>
        </w:rPr>
        <w:t>一、职能简介（职能参照区政府批准的三定方案）</w:t>
      </w:r>
      <w:r>
        <w:tab/>
      </w:r>
      <w:r>
        <w:fldChar w:fldCharType="begin"/>
      </w:r>
      <w:r>
        <w:instrText xml:space="preserve"> PAGEREF _Toc80711327 \h </w:instrText>
      </w:r>
      <w:r>
        <w:fldChar w:fldCharType="separate"/>
      </w:r>
      <w:r>
        <w:t>4</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"_Toc80711328" </w:instrText>
      </w:r>
      <w:r>
        <w:fldChar w:fldCharType="separate"/>
      </w:r>
      <w:r>
        <w:rPr>
          <w:rStyle w:val="24"/>
          <w:rFonts w:hint="eastAsia" w:eastAsia="方正黑体_GBK"/>
        </w:rPr>
        <w:t>二、</w:t>
      </w:r>
      <w:r>
        <w:rPr>
          <w:rStyle w:val="24"/>
          <w:rFonts w:eastAsia="方正黑体_GBK"/>
        </w:rPr>
        <w:t>2020</w:t>
      </w:r>
      <w:r>
        <w:rPr>
          <w:rStyle w:val="24"/>
          <w:rFonts w:hint="eastAsia" w:eastAsia="方正黑体_GBK"/>
        </w:rPr>
        <w:t>年重点工作完成情况。</w:t>
      </w:r>
      <w:r>
        <w:tab/>
      </w:r>
      <w:r>
        <w:fldChar w:fldCharType="begin"/>
      </w:r>
      <w:r>
        <w:instrText xml:space="preserve"> PAGEREF _Toc80711328 \h </w:instrText>
      </w:r>
      <w:r>
        <w:fldChar w:fldCharType="separate"/>
      </w:r>
      <w:r>
        <w:t>4</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"_Toc80711329" </w:instrText>
      </w:r>
      <w:r>
        <w:fldChar w:fldCharType="separate"/>
      </w:r>
      <w:r>
        <w:rPr>
          <w:rStyle w:val="24"/>
          <w:rFonts w:hint="eastAsia"/>
        </w:rPr>
        <w:t>第二部分</w:t>
      </w:r>
      <w:r>
        <w:rPr>
          <w:rStyle w:val="24"/>
        </w:rPr>
        <w:t xml:space="preserve"> 2020</w:t>
      </w:r>
      <w:r>
        <w:rPr>
          <w:rStyle w:val="24"/>
          <w:rFonts w:hint="eastAsia"/>
        </w:rPr>
        <w:t>年度部门决算情况说明</w:t>
      </w:r>
      <w:r>
        <w:tab/>
      </w:r>
      <w:r>
        <w:fldChar w:fldCharType="begin"/>
      </w:r>
      <w:r>
        <w:instrText xml:space="preserve"> PAGEREF _Toc80711329 \h </w:instrText>
      </w:r>
      <w:r>
        <w:fldChar w:fldCharType="separate"/>
      </w:r>
      <w:r>
        <w:t>4</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"_Toc80711330" </w:instrText>
      </w:r>
      <w:r>
        <w:fldChar w:fldCharType="separate"/>
      </w:r>
      <w:r>
        <w:rPr>
          <w:rStyle w:val="24"/>
          <w:rFonts w:hint="eastAsia" w:eastAsia="方正黑体_GBK"/>
        </w:rPr>
        <w:t>一、收入支出决算总体情况说明</w:t>
      </w:r>
      <w:r>
        <w:tab/>
      </w:r>
      <w:r>
        <w:fldChar w:fldCharType="begin"/>
      </w:r>
      <w:r>
        <w:instrText xml:space="preserve"> PAGEREF _Toc80711330 \h </w:instrText>
      </w:r>
      <w:r>
        <w:fldChar w:fldCharType="separate"/>
      </w:r>
      <w:r>
        <w:t>5</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"_Toc80711331" </w:instrText>
      </w:r>
      <w:r>
        <w:fldChar w:fldCharType="separate"/>
      </w:r>
      <w:r>
        <w:rPr>
          <w:rStyle w:val="24"/>
          <w:rFonts w:hint="eastAsia" w:eastAsia="方正黑体_GBK"/>
        </w:rPr>
        <w:t>二、收入决算情况说明</w:t>
      </w:r>
      <w:r>
        <w:tab/>
      </w:r>
      <w:r>
        <w:fldChar w:fldCharType="begin"/>
      </w:r>
      <w:r>
        <w:instrText xml:space="preserve"> PAGEREF _Toc80711331 \h </w:instrText>
      </w:r>
      <w:r>
        <w:fldChar w:fldCharType="separate"/>
      </w:r>
      <w:r>
        <w:t>6</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"_Toc80711332" </w:instrText>
      </w:r>
      <w:r>
        <w:fldChar w:fldCharType="separate"/>
      </w:r>
      <w:r>
        <w:rPr>
          <w:rStyle w:val="24"/>
          <w:rFonts w:hint="eastAsia" w:eastAsia="方正黑体_GBK"/>
        </w:rPr>
        <w:t>三、支出决算情况说明</w:t>
      </w:r>
      <w:r>
        <w:tab/>
      </w:r>
      <w:r>
        <w:fldChar w:fldCharType="begin"/>
      </w:r>
      <w:r>
        <w:instrText xml:space="preserve"> PAGEREF _Toc80711332 \h </w:instrText>
      </w:r>
      <w:r>
        <w:fldChar w:fldCharType="separate"/>
      </w:r>
      <w:r>
        <w:t>6</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"_Toc80711333" </w:instrText>
      </w:r>
      <w:r>
        <w:fldChar w:fldCharType="separate"/>
      </w:r>
      <w:r>
        <w:rPr>
          <w:rStyle w:val="24"/>
          <w:rFonts w:hint="eastAsia" w:ascii="方正黑体_GBK" w:eastAsia="方正黑体_GBK"/>
        </w:rPr>
        <w:t>四、财政拨款收入支出决算总体情况说明</w:t>
      </w:r>
      <w:r>
        <w:tab/>
      </w:r>
      <w:r>
        <w:fldChar w:fldCharType="begin"/>
      </w:r>
      <w:r>
        <w:instrText xml:space="preserve"> PAGEREF _Toc80711333 \h </w:instrText>
      </w:r>
      <w:r>
        <w:fldChar w:fldCharType="separate"/>
      </w:r>
      <w:r>
        <w:t>7</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"_Toc80711334" </w:instrText>
      </w:r>
      <w:r>
        <w:fldChar w:fldCharType="separate"/>
      </w:r>
      <w:r>
        <w:rPr>
          <w:rStyle w:val="24"/>
          <w:rFonts w:hint="eastAsia" w:ascii="方正黑体_GBK" w:eastAsia="方正黑体_GBK"/>
        </w:rPr>
        <w:t>五、一般公共预算财政拨款支出决算情况说明</w:t>
      </w:r>
      <w:r>
        <w:tab/>
      </w:r>
      <w:r>
        <w:fldChar w:fldCharType="begin"/>
      </w:r>
      <w:r>
        <w:instrText xml:space="preserve"> PAGEREF _Toc80711334 \h </w:instrText>
      </w:r>
      <w:r>
        <w:fldChar w:fldCharType="separate"/>
      </w:r>
      <w:r>
        <w:t>8</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"_Toc80711335" </w:instrText>
      </w:r>
      <w:r>
        <w:fldChar w:fldCharType="separate"/>
      </w:r>
      <w:r>
        <w:rPr>
          <w:rStyle w:val="24"/>
          <w:rFonts w:hint="eastAsia" w:ascii="方正黑体_GBK" w:eastAsia="方正黑体_GBK"/>
        </w:rPr>
        <w:t>六、一般公共预算财政拨款基本支出决算情况说明</w:t>
      </w:r>
      <w:r>
        <w:tab/>
      </w:r>
      <w:r>
        <w:fldChar w:fldCharType="begin"/>
      </w:r>
      <w:r>
        <w:instrText xml:space="preserve"> PAGEREF _Toc80711335 \h </w:instrText>
      </w:r>
      <w:r>
        <w:fldChar w:fldCharType="separate"/>
      </w:r>
      <w:r>
        <w:t>11</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"_Toc80711336" </w:instrText>
      </w:r>
      <w:r>
        <w:fldChar w:fldCharType="separate"/>
      </w:r>
      <w:r>
        <w:rPr>
          <w:rStyle w:val="24"/>
          <w:rFonts w:hint="eastAsia" w:ascii="方正黑体_GBK" w:eastAsia="方正黑体_GBK"/>
        </w:rPr>
        <w:t>七、</w:t>
      </w:r>
      <w:r>
        <w:rPr>
          <w:rStyle w:val="24"/>
          <w:rFonts w:ascii="方正黑体_GBK" w:eastAsia="方正黑体_GBK"/>
          <w:b/>
          <w:bCs/>
        </w:rPr>
        <w:t>“</w:t>
      </w:r>
      <w:r>
        <w:rPr>
          <w:rStyle w:val="24"/>
          <w:rFonts w:hint="eastAsia" w:ascii="方正黑体_GBK" w:eastAsia="方正黑体_GBK"/>
        </w:rPr>
        <w:t>三公</w:t>
      </w:r>
      <w:r>
        <w:rPr>
          <w:rStyle w:val="24"/>
          <w:rFonts w:ascii="方正黑体_GBK" w:eastAsia="方正黑体_GBK"/>
        </w:rPr>
        <w:t>”</w:t>
      </w:r>
      <w:r>
        <w:rPr>
          <w:rStyle w:val="24"/>
          <w:rFonts w:hint="eastAsia" w:ascii="方正黑体_GBK" w:eastAsia="方正黑体_GBK"/>
        </w:rPr>
        <w:t>经费财政拨款支出决算情况说明</w:t>
      </w:r>
      <w:r>
        <w:tab/>
      </w:r>
      <w:r>
        <w:fldChar w:fldCharType="begin"/>
      </w:r>
      <w:r>
        <w:instrText xml:space="preserve"> PAGEREF _Toc80711336 \h </w:instrText>
      </w:r>
      <w:r>
        <w:fldChar w:fldCharType="separate"/>
      </w:r>
      <w:r>
        <w:t>11</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"_Toc80711337" </w:instrText>
      </w:r>
      <w:r>
        <w:fldChar w:fldCharType="separate"/>
      </w:r>
      <w:r>
        <w:rPr>
          <w:rStyle w:val="24"/>
          <w:rFonts w:hint="eastAsia" w:ascii="方正黑体_GBK" w:eastAsia="方正黑体_GBK"/>
        </w:rPr>
        <w:t>八、政府性基金预算支出决算情况说明</w:t>
      </w:r>
      <w:r>
        <w:tab/>
      </w:r>
      <w:r>
        <w:fldChar w:fldCharType="begin"/>
      </w:r>
      <w:r>
        <w:instrText xml:space="preserve"> PAGEREF _Toc80711337 \h </w:instrText>
      </w:r>
      <w:r>
        <w:fldChar w:fldCharType="separate"/>
      </w:r>
      <w:r>
        <w:t>11</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"_Toc80711338" </w:instrText>
      </w:r>
      <w:r>
        <w:fldChar w:fldCharType="separate"/>
      </w:r>
      <w:r>
        <w:rPr>
          <w:rStyle w:val="24"/>
          <w:rFonts w:hint="eastAsia" w:ascii="方正黑体_GBK" w:eastAsia="方正黑体_GBK"/>
        </w:rPr>
        <w:t>九、国有资本经营预算支出决算情况说明</w:t>
      </w:r>
      <w:r>
        <w:tab/>
      </w:r>
      <w:r>
        <w:fldChar w:fldCharType="begin"/>
      </w:r>
      <w:r>
        <w:instrText xml:space="preserve"> PAGEREF _Toc80711338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"_Toc80711339" </w:instrText>
      </w:r>
      <w:r>
        <w:fldChar w:fldCharType="separate"/>
      </w:r>
      <w:r>
        <w:rPr>
          <w:rStyle w:val="24"/>
          <w:rFonts w:hint="eastAsia" w:ascii="方正黑体_GBK" w:eastAsia="方正黑体_GBK"/>
        </w:rPr>
        <w:t>十、预算绩效管理情况说明</w:t>
      </w:r>
      <w:r>
        <w:tab/>
      </w:r>
      <w:r>
        <w:fldChar w:fldCharType="begin"/>
      </w:r>
      <w:r>
        <w:instrText xml:space="preserve"> PAGEREF _Toc80711339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"_Toc80711340" </w:instrText>
      </w:r>
      <w:r>
        <w:fldChar w:fldCharType="separate"/>
      </w:r>
      <w:r>
        <w:rPr>
          <w:rStyle w:val="24"/>
          <w:rFonts w:hint="eastAsia" w:ascii="方正黑体_GBK" w:eastAsia="方正黑体_GBK"/>
        </w:rPr>
        <w:t>十一</w:t>
      </w:r>
      <w:r>
        <w:rPr>
          <w:rStyle w:val="24"/>
          <w:rFonts w:hint="eastAsia" w:ascii="方正黑体_GBK" w:eastAsia="方正黑体_GBK"/>
          <w:b/>
          <w:bCs/>
        </w:rPr>
        <w:t>、</w:t>
      </w:r>
      <w:r>
        <w:rPr>
          <w:rStyle w:val="24"/>
          <w:rFonts w:hint="eastAsia" w:ascii="方正黑体_GBK" w:eastAsia="方正黑体_GBK"/>
        </w:rPr>
        <w:t>其他重要事项的情况说明</w:t>
      </w:r>
      <w:r>
        <w:tab/>
      </w:r>
      <w:r>
        <w:fldChar w:fldCharType="begin"/>
      </w:r>
      <w:r>
        <w:instrText xml:space="preserve"> PAGEREF _Toc80711340 \h </w:instrText>
      </w:r>
      <w:r>
        <w:fldChar w:fldCharType="separate"/>
      </w:r>
      <w:r>
        <w:t>14</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"_Toc80711341" </w:instrText>
      </w:r>
      <w:r>
        <w:fldChar w:fldCharType="separate"/>
      </w:r>
      <w:r>
        <w:rPr>
          <w:rStyle w:val="24"/>
          <w:rFonts w:hint="eastAsia"/>
        </w:rPr>
        <w:t>第三部分名词解释</w:t>
      </w:r>
      <w:r>
        <w:tab/>
      </w:r>
      <w:r>
        <w:fldChar w:fldCharType="begin"/>
      </w:r>
      <w:r>
        <w:instrText xml:space="preserve"> PAGEREF _Toc80711341 \h </w:instrText>
      </w:r>
      <w:r>
        <w:fldChar w:fldCharType="separate"/>
      </w:r>
      <w:r>
        <w:t>16</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"_Toc80711342" </w:instrText>
      </w:r>
      <w:r>
        <w:fldChar w:fldCharType="separate"/>
      </w:r>
      <w:r>
        <w:rPr>
          <w:rStyle w:val="24"/>
          <w:rFonts w:hint="eastAsia" w:ascii="方正黑体_GBK"/>
        </w:rPr>
        <w:t>第</w:t>
      </w:r>
      <w:r>
        <w:rPr>
          <w:rStyle w:val="24"/>
          <w:rFonts w:hint="eastAsia" w:ascii="方正黑体_GBK"/>
          <w:kern w:val="44"/>
        </w:rPr>
        <w:t>四部分附件</w:t>
      </w:r>
      <w:r>
        <w:tab/>
      </w:r>
      <w:r>
        <w:fldChar w:fldCharType="begin"/>
      </w:r>
      <w:r>
        <w:instrText xml:space="preserve"> PAGEREF _Toc80711342 \h </w:instrText>
      </w:r>
      <w:r>
        <w:fldChar w:fldCharType="separate"/>
      </w:r>
      <w:r>
        <w:t>19</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"_Toc80711343" </w:instrText>
      </w:r>
      <w:r>
        <w:fldChar w:fldCharType="separate"/>
      </w:r>
      <w:r>
        <w:rPr>
          <w:rStyle w:val="24"/>
          <w:rFonts w:hint="eastAsia" w:ascii="方正黑体_GBK"/>
        </w:rPr>
        <w:t>第</w:t>
      </w:r>
      <w:r>
        <w:rPr>
          <w:rStyle w:val="24"/>
          <w:rFonts w:hint="eastAsia" w:ascii="方正黑体_GBK"/>
          <w:kern w:val="44"/>
        </w:rPr>
        <w:t>五部分附表</w:t>
      </w:r>
      <w:r>
        <w:tab/>
      </w:r>
      <w:r>
        <w:fldChar w:fldCharType="begin"/>
      </w:r>
      <w:r>
        <w:instrText xml:space="preserve"> PAGEREF _Toc80711343 \h </w:instrText>
      </w:r>
      <w:r>
        <w:fldChar w:fldCharType="separate"/>
      </w:r>
      <w:r>
        <w:t>23</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"_Toc80711344" </w:instrText>
      </w:r>
      <w:r>
        <w:fldChar w:fldCharType="separate"/>
      </w:r>
      <w:r>
        <w:rPr>
          <w:rStyle w:val="24"/>
          <w:rFonts w:hint="eastAsia" w:eastAsia="方正仿宋_GBK"/>
        </w:rPr>
        <w:t>一、收入支出决算总表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"_Toc80711345" </w:instrText>
      </w:r>
      <w:r>
        <w:fldChar w:fldCharType="separate"/>
      </w:r>
      <w:r>
        <w:rPr>
          <w:rStyle w:val="24"/>
          <w:rFonts w:hint="eastAsia" w:eastAsia="方正仿宋_GBK"/>
        </w:rPr>
        <w:t>二、收入决算表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"_Toc80711346" </w:instrText>
      </w:r>
      <w:r>
        <w:fldChar w:fldCharType="separate"/>
      </w:r>
      <w:r>
        <w:rPr>
          <w:rStyle w:val="24"/>
          <w:rFonts w:hint="eastAsia" w:eastAsia="方正仿宋_GBK"/>
        </w:rPr>
        <w:t>三、支出决算表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"_Toc80711347" </w:instrText>
      </w:r>
      <w:r>
        <w:fldChar w:fldCharType="separate"/>
      </w:r>
      <w:r>
        <w:rPr>
          <w:rStyle w:val="24"/>
          <w:rFonts w:hint="eastAsia" w:eastAsia="方正仿宋_GBK"/>
        </w:rPr>
        <w:t>四、财政拨款收入支出决算总表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"_Toc80711348" </w:instrText>
      </w:r>
      <w:r>
        <w:fldChar w:fldCharType="separate"/>
      </w:r>
      <w:r>
        <w:rPr>
          <w:rStyle w:val="24"/>
          <w:rFonts w:hint="eastAsia" w:eastAsia="方正仿宋_GBK"/>
        </w:rPr>
        <w:t>五、财政拨款支出决算明细表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"_Toc80711349" </w:instrText>
      </w:r>
      <w:r>
        <w:fldChar w:fldCharType="separate"/>
      </w:r>
      <w:r>
        <w:rPr>
          <w:rStyle w:val="24"/>
          <w:rFonts w:hint="eastAsia" w:eastAsia="方正仿宋_GBK"/>
        </w:rPr>
        <w:t>六、一般公共预算财政拨款支出决算表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"_Toc80711350" </w:instrText>
      </w:r>
      <w:r>
        <w:fldChar w:fldCharType="separate"/>
      </w:r>
      <w:r>
        <w:rPr>
          <w:rStyle w:val="24"/>
          <w:rFonts w:hint="eastAsia" w:eastAsia="方正仿宋_GBK"/>
        </w:rPr>
        <w:t>七、一般公共预算财政拨款支出决算明细表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"_Toc80711351" </w:instrText>
      </w:r>
      <w:r>
        <w:fldChar w:fldCharType="separate"/>
      </w:r>
      <w:r>
        <w:rPr>
          <w:rStyle w:val="24"/>
          <w:rFonts w:hint="eastAsia" w:eastAsia="方正仿宋_GBK"/>
        </w:rPr>
        <w:t>八、一般公共预算财政拨款基本支出决算表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"_Toc80711352" </w:instrText>
      </w:r>
      <w:r>
        <w:fldChar w:fldCharType="separate"/>
      </w:r>
      <w:r>
        <w:rPr>
          <w:rStyle w:val="24"/>
          <w:rFonts w:hint="eastAsia" w:eastAsia="方正仿宋_GBK"/>
        </w:rPr>
        <w:t>九、一般公共预算财政拨款项目支出决算表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"_Toc80711353" </w:instrText>
      </w:r>
      <w:r>
        <w:fldChar w:fldCharType="separate"/>
      </w:r>
      <w:r>
        <w:rPr>
          <w:rStyle w:val="24"/>
          <w:rFonts w:hint="eastAsia" w:eastAsia="方正仿宋_GBK"/>
        </w:rPr>
        <w:t>十、一般公共预算财政拨款“三公”经费支出决算表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"_Toc80711354" </w:instrText>
      </w:r>
      <w:r>
        <w:fldChar w:fldCharType="separate"/>
      </w:r>
      <w:r>
        <w:rPr>
          <w:rStyle w:val="24"/>
          <w:rFonts w:hint="eastAsia" w:eastAsia="方正仿宋_GBK"/>
        </w:rPr>
        <w:t>十一、政府性基金预算财政拨款收入支出决算表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"_Toc80711355" </w:instrText>
      </w:r>
      <w:r>
        <w:fldChar w:fldCharType="separate"/>
      </w:r>
      <w:r>
        <w:rPr>
          <w:rStyle w:val="24"/>
          <w:rFonts w:hint="eastAsia" w:eastAsia="方正仿宋_GBK"/>
        </w:rPr>
        <w:t>十二、政府性基金预算财政拨款“三公”经费支出决算表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"_Toc80711356" </w:instrText>
      </w:r>
      <w:r>
        <w:fldChar w:fldCharType="separate"/>
      </w:r>
      <w:r>
        <w:rPr>
          <w:rStyle w:val="24"/>
          <w:rFonts w:hint="eastAsia" w:eastAsia="方正仿宋_GBK"/>
        </w:rPr>
        <w:t>十三、国有资本经营预算支出决算表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"_Toc80711357" </w:instrText>
      </w:r>
      <w:r>
        <w:fldChar w:fldCharType="separate"/>
      </w:r>
      <w:r>
        <w:rPr>
          <w:rStyle w:val="24"/>
          <w:rFonts w:hint="eastAsia" w:eastAsia="方正仿宋_GBK"/>
        </w:rPr>
        <w:t>十四、国有资本经营预算财政拨款支出决算表</w:t>
      </w:r>
      <w:r>
        <w:rPr>
          <w:rStyle w:val="24"/>
          <w:rFonts w:hint="eastAsia" w:eastAsia="方正仿宋_GBK"/>
        </w:rPr>
        <w:fldChar w:fldCharType="end"/>
      </w:r>
    </w:p>
    <w:p>
      <w:pPr>
        <w:pStyle w:val="2"/>
        <w:keepNext w:val="0"/>
        <w:keepLines w:val="0"/>
        <w:topLinePunct/>
        <w:spacing w:before="0" w:after="0" w:line="240" w:lineRule="auto"/>
        <w:jc w:val="center"/>
        <w:rPr>
          <w:rStyle w:val="26"/>
          <w:rFonts w:ascii="方正黑体_GBK" w:eastAsia="方正黑体_GBK"/>
          <w:b w:val="0"/>
          <w:bCs w:val="0"/>
          <w:sz w:val="32"/>
          <w:szCs w:val="32"/>
        </w:rPr>
      </w:pPr>
      <w:r>
        <w:rPr>
          <w:sz w:val="28"/>
          <w:szCs w:val="28"/>
        </w:rPr>
        <w:fldChar w:fldCharType="end"/>
      </w:r>
      <w:bookmarkStart w:id="14" w:name="_Toc15377196"/>
      <w:r>
        <w:rPr>
          <w:rFonts w:eastAsia="黑体"/>
        </w:rPr>
        <w:br w:type="page"/>
      </w:r>
      <w:bookmarkStart w:id="15" w:name="_Toc80711326"/>
      <w:r>
        <w:rPr>
          <w:rFonts w:hint="eastAsia" w:ascii="方正黑体_GBK" w:eastAsia="方正黑体_GBK"/>
          <w:b w:val="0"/>
          <w:bCs w:val="0"/>
          <w:sz w:val="32"/>
          <w:szCs w:val="32"/>
        </w:rPr>
        <w:t xml:space="preserve">第一部分 </w:t>
      </w:r>
      <w:r>
        <w:rPr>
          <w:rFonts w:hint="eastAsia" w:ascii="方正黑体_GBK" w:eastAsia="方正黑体_GBK"/>
          <w:bCs w:val="0"/>
          <w:sz w:val="32"/>
          <w:szCs w:val="32"/>
        </w:rPr>
        <w:t>单位概况</w:t>
      </w:r>
      <w:bookmarkEnd w:id="14"/>
      <w:bookmarkEnd w:id="15"/>
    </w:p>
    <w:p>
      <w:pPr>
        <w:pStyle w:val="3"/>
        <w:keepNext w:val="0"/>
        <w:keepLines w:val="0"/>
        <w:topLinePunct/>
        <w:spacing w:before="0" w:after="0" w:line="240" w:lineRule="auto"/>
        <w:ind w:firstLine="632" w:firstLineChars="200"/>
        <w:rPr>
          <w:rFonts w:ascii="Times New Roman" w:hAnsi="Times New Roman" w:eastAsia="方正仿宋_GBK" w:cs="Times New Roman"/>
          <w:b w:val="0"/>
          <w:bCs w:val="0"/>
          <w:color w:val="000000"/>
        </w:rPr>
      </w:pPr>
      <w:bookmarkStart w:id="16" w:name="_Toc15377197"/>
    </w:p>
    <w:p>
      <w:pPr>
        <w:pStyle w:val="3"/>
        <w:keepNext w:val="0"/>
        <w:keepLines w:val="0"/>
        <w:topLinePunct/>
        <w:spacing w:before="0" w:after="0" w:line="240" w:lineRule="auto"/>
        <w:ind w:firstLine="632" w:firstLineChars="200"/>
        <w:rPr>
          <w:rFonts w:ascii="Times New Roman" w:hAnsi="Times New Roman" w:eastAsia="方正黑体_GBK" w:cs="Times New Roman"/>
          <w:b w:val="0"/>
          <w:bCs w:val="0"/>
          <w:color w:val="000000"/>
        </w:rPr>
      </w:pPr>
      <w:bookmarkStart w:id="17" w:name="_Toc80711327"/>
      <w:r>
        <w:rPr>
          <w:rFonts w:ascii="Times New Roman" w:hAnsi="Times New Roman" w:eastAsia="方正黑体_GBK" w:cs="Times New Roman"/>
          <w:b w:val="0"/>
          <w:bCs w:val="0"/>
          <w:color w:val="000000"/>
        </w:rPr>
        <w:t>一、职能简介</w:t>
      </w:r>
      <w:bookmarkEnd w:id="16"/>
      <w:bookmarkEnd w:id="17"/>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bookmarkStart w:id="18" w:name="_Toc15378446"/>
      <w:bookmarkStart w:id="19" w:name="_Toc15377199"/>
      <w:r>
        <w:rPr>
          <w:rFonts w:hint="eastAsia" w:ascii="Times New Roman" w:hAnsi="Times New Roman" w:eastAsia="宋体" w:cs="Times New Roman"/>
          <w:b w:val="0"/>
          <w:bCs/>
          <w:kern w:val="44"/>
          <w:sz w:val="28"/>
          <w:szCs w:val="28"/>
          <w:lang w:val="en-US" w:eastAsia="zh-CN" w:bidi="ar-SA"/>
        </w:rPr>
        <w:t>我院创办于1937年，是政府举办的非营利性公立医院，集医疗、科研、教学、预防保健为一体，是西南地区历史最悠久的一所二级甲等儿童专科医院，在2019年7月成立了成华分院区，目前拥有青羊、成华两个院区。成华院区的建设极大的方便了北门地区的患儿需求，同时加快了我院发展的步伐。医院现有编制床位210张，设有22个临床专科和亚专业，是青羊区儿科质量控制中心，分院创建了“临床心理专业”，已在2020年开展儿童心理咨询、心理治疗等，并承担了公益性学龄儿童窝沟封闭工作。我院是成都市城乡医疗保险及多家商业保险公司定点医院。严格执行国家医保政策，努力践行社会责任，充分体现医院的公益性。</w:t>
      </w:r>
    </w:p>
    <w:p>
      <w:pPr>
        <w:pStyle w:val="7"/>
        <w:topLinePunct/>
        <w:adjustRightInd w:val="0"/>
        <w:spacing w:after="0"/>
        <w:ind w:firstLine="664" w:firstLineChars="210"/>
        <w:outlineLvl w:val="1"/>
        <w:rPr>
          <w:rFonts w:eastAsia="方正黑体_GBK"/>
          <w:color w:val="000000"/>
        </w:rPr>
      </w:pPr>
      <w:bookmarkStart w:id="20" w:name="_Toc80711328"/>
      <w:r>
        <w:rPr>
          <w:rFonts w:hint="eastAsia" w:eastAsia="方正黑体_GBK"/>
          <w:color w:val="000000"/>
        </w:rPr>
        <w:t>二、</w:t>
      </w:r>
      <w:r>
        <w:rPr>
          <w:rFonts w:eastAsia="方正黑体_GBK"/>
          <w:color w:val="000000"/>
        </w:rPr>
        <w:t>20</w:t>
      </w:r>
      <w:r>
        <w:rPr>
          <w:rFonts w:hint="eastAsia" w:eastAsia="方正黑体_GBK"/>
          <w:color w:val="000000"/>
        </w:rPr>
        <w:t>20</w:t>
      </w:r>
      <w:r>
        <w:rPr>
          <w:rFonts w:eastAsia="方正黑体_GBK"/>
          <w:color w:val="000000"/>
        </w:rPr>
        <w:t>年重点工作完成情况。</w:t>
      </w:r>
      <w:bookmarkEnd w:id="18"/>
      <w:bookmarkEnd w:id="19"/>
      <w:bookmarkEnd w:id="20"/>
    </w:p>
    <w:p>
      <w:pPr>
        <w:pStyle w:val="2"/>
        <w:keepNext w:val="0"/>
        <w:keepLines w:val="0"/>
        <w:topLinePunct/>
        <w:spacing w:before="0" w:after="0" w:line="240" w:lineRule="auto"/>
        <w:jc w:val="left"/>
        <w:rPr>
          <w:b w:val="0"/>
          <w:sz w:val="28"/>
          <w:szCs w:val="28"/>
        </w:rPr>
      </w:pPr>
      <w:bookmarkStart w:id="21" w:name="_Toc15377204"/>
      <w:bookmarkStart w:id="22" w:name="_Toc80711329"/>
      <w:r>
        <w:rPr>
          <w:rFonts w:hint="eastAsia"/>
          <w:sz w:val="28"/>
          <w:szCs w:val="28"/>
        </w:rPr>
        <w:t xml:space="preserve">    </w:t>
      </w:r>
      <w:r>
        <w:rPr>
          <w:rFonts w:hint="eastAsia"/>
          <w:b w:val="0"/>
          <w:sz w:val="28"/>
          <w:szCs w:val="28"/>
        </w:rPr>
        <w:t>由于2020年受全球疫情影响，我院业务收入显著下降但面对突如其来的疫情，我院不仅医务人员加入抗疫前线，后勤工作人员也积极呼应，面对新冠疫情医院党委组建多支疫情防控应急队伍，时刻坚守在抗疫第一线，先后派遣13人、5个批次参加青羊区集中医学观察点隔离工作，派出一线医务人员2人增援区疾控中心，积极下到社区参与流行病学调查。派出4人参加双流机场新冠肺炎疫情排查2次，成立“党员先锋队，先后派出79人，9批次参与转运归国旅客2000人次，组织4名党员同志参与“阳性病人”转运工作7次；还派驻5人值守“锦江之星”隔离酒店承担疫情防控工作。继续派出3名业务骨干前往甘孜州开展”传帮带“医疗扶贫对口支援工作，有效解决了当地儿科医生缺乏、群众就医难的问题。</w:t>
      </w:r>
    </w:p>
    <w:p>
      <w:pPr>
        <w:pStyle w:val="2"/>
        <w:keepNext w:val="0"/>
        <w:keepLines w:val="0"/>
        <w:topLinePunct/>
        <w:spacing w:before="0" w:after="0" w:line="240" w:lineRule="auto"/>
        <w:jc w:val="center"/>
        <w:rPr>
          <w:rFonts w:eastAsia="方正黑体_GBK"/>
          <w:b w:val="0"/>
          <w:bCs w:val="0"/>
          <w:sz w:val="32"/>
          <w:szCs w:val="32"/>
        </w:rPr>
      </w:pPr>
    </w:p>
    <w:p>
      <w:pPr>
        <w:pStyle w:val="2"/>
        <w:keepNext w:val="0"/>
        <w:keepLines w:val="0"/>
        <w:topLinePunct/>
        <w:spacing w:before="0" w:after="0" w:line="240" w:lineRule="auto"/>
        <w:jc w:val="center"/>
        <w:rPr>
          <w:rFonts w:eastAsia="方正黑体_GBK"/>
          <w:b w:val="0"/>
          <w:bCs w:val="0"/>
          <w:sz w:val="32"/>
          <w:szCs w:val="32"/>
        </w:rPr>
      </w:pPr>
      <w:r>
        <w:rPr>
          <w:rFonts w:eastAsia="方正黑体_GBK"/>
          <w:b w:val="0"/>
          <w:bCs w:val="0"/>
          <w:sz w:val="32"/>
          <w:szCs w:val="32"/>
        </w:rPr>
        <w:t>第二部分2020年度部门决算情况说明</w:t>
      </w:r>
      <w:bookmarkEnd w:id="21"/>
      <w:bookmarkEnd w:id="22"/>
    </w:p>
    <w:p>
      <w:pPr>
        <w:pStyle w:val="3"/>
        <w:keepNext w:val="0"/>
        <w:keepLines w:val="0"/>
        <w:topLinePunct/>
        <w:spacing w:before="0" w:after="0" w:line="540" w:lineRule="exact"/>
        <w:rPr>
          <w:rFonts w:ascii="Times New Roman" w:hAnsi="Times New Roman" w:eastAsia="方正黑体_GBK" w:cs="Times New Roman"/>
          <w:b w:val="0"/>
          <w:bCs w:val="0"/>
          <w:color w:val="000000"/>
        </w:rPr>
      </w:pPr>
      <w:bookmarkStart w:id="23" w:name="_Toc15377205"/>
      <w:bookmarkStart w:id="24" w:name="_Toc80711330"/>
    </w:p>
    <w:p>
      <w:pPr>
        <w:pStyle w:val="3"/>
        <w:keepNext w:val="0"/>
        <w:keepLines w:val="0"/>
        <w:topLinePunct/>
        <w:spacing w:before="0" w:after="0" w:line="540" w:lineRule="exact"/>
        <w:rPr>
          <w:rFonts w:ascii="Times New Roman" w:hAnsi="Times New Roman" w:eastAsia="方正黑体_GBK" w:cs="Times New Roman"/>
          <w:b w:val="0"/>
          <w:color w:val="000000"/>
        </w:rPr>
      </w:pPr>
      <w:r>
        <w:rPr>
          <w:rFonts w:ascii="Times New Roman" w:hAnsi="Times New Roman" w:eastAsia="方正黑体_GBK" w:cs="Times New Roman"/>
          <w:b w:val="0"/>
          <w:bCs w:val="0"/>
          <w:color w:val="000000"/>
        </w:rPr>
        <w:t>一、收</w:t>
      </w:r>
      <w:r>
        <w:rPr>
          <w:rFonts w:ascii="Times New Roman" w:hAnsi="Times New Roman" w:eastAsia="方正黑体_GBK" w:cs="Times New Roman"/>
          <w:b w:val="0"/>
          <w:color w:val="000000"/>
        </w:rPr>
        <w:t>入支出决算总体情况说明</w:t>
      </w:r>
      <w:bookmarkEnd w:id="23"/>
      <w:bookmarkEnd w:id="24"/>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r>
        <w:rPr>
          <w:rFonts w:hint="eastAsia" w:ascii="Times New Roman" w:hAnsi="Times New Roman" w:eastAsia="宋体" w:cs="Times New Roman"/>
          <w:b w:val="0"/>
          <w:bCs/>
          <w:kern w:val="44"/>
          <w:sz w:val="28"/>
          <w:szCs w:val="28"/>
          <w:lang w:val="en-US" w:eastAsia="zh-CN" w:bidi="ar-SA"/>
        </w:rPr>
        <w:t>2020年度收入总计10687万元，支出总计11788万元。与2019年相比，收入下降2541.85万元，下降19.21%。2020年全球遭遇新冠肺炎病毒危害，各行各业都受到一定程度的冲出，为防止疫情蔓延，人们纷纷响应政府号召，采取隔离、限制活动，减少外出，人员流动的相应减少，使我院的业务量出现更大下滑，也使我院的业务收入相比去年出现大幅度下降。为保证医院的正常运转，我院只保证了必要的人员支出和公用经费。</w:t>
      </w:r>
    </w:p>
    <w:p>
      <w:pPr>
        <w:topLinePunct/>
        <w:spacing w:line="540" w:lineRule="exact"/>
        <w:ind w:firstLine="632" w:firstLineChars="200"/>
        <w:rPr>
          <w:rFonts w:eastAsia="方正仿宋_GBK"/>
          <w:color w:val="000000"/>
        </w:rPr>
      </w:pPr>
    </w:p>
    <w:p>
      <w:pPr>
        <w:topLinePunct/>
        <w:spacing w:line="540" w:lineRule="exact"/>
        <w:ind w:firstLine="632" w:firstLineChars="200"/>
        <w:rPr>
          <w:rFonts w:hint="eastAsia" w:eastAsia="方正仿宋_GBK"/>
          <w:color w:val="000000"/>
          <w:highlight w:val="yellow"/>
          <w:lang w:eastAsia="zh-CN"/>
        </w:rPr>
      </w:pPr>
      <w:r>
        <w:rPr>
          <w:rFonts w:eastAsia="方正仿宋_GBK"/>
          <w:color w:val="000000"/>
          <w:highlight w:val="none"/>
        </w:rPr>
        <w:t>（图1：收、支决算总计变动情况图）</w:t>
      </w:r>
    </w:p>
    <w:p>
      <w:pPr>
        <w:topLinePunct/>
        <w:spacing w:line="540" w:lineRule="exact"/>
        <w:ind w:firstLine="632" w:firstLineChars="200"/>
        <w:rPr>
          <w:rFonts w:hint="eastAsia" w:eastAsia="方正仿宋_GBK"/>
          <w:color w:val="000000"/>
          <w:highlight w:val="yellow"/>
          <w:lang w:eastAsia="zh-CN"/>
        </w:rPr>
      </w:pPr>
      <w:r>
        <w:rPr>
          <w:rFonts w:hint="eastAsia" w:eastAsia="方正仿宋_GBK"/>
          <w:color w:val="000000"/>
          <w:highlight w:val="yellow"/>
          <w:lang w:eastAsia="zh-CN"/>
        </w:rPr>
        <w:drawing>
          <wp:anchor distT="0" distB="0" distL="114300" distR="114300" simplePos="0" relativeHeight="251659264" behindDoc="1" locked="0" layoutInCell="1" allowOverlap="1">
            <wp:simplePos x="0" y="0"/>
            <wp:positionH relativeFrom="column">
              <wp:posOffset>272415</wp:posOffset>
            </wp:positionH>
            <wp:positionV relativeFrom="paragraph">
              <wp:posOffset>327025</wp:posOffset>
            </wp:positionV>
            <wp:extent cx="4517390" cy="2810510"/>
            <wp:effectExtent l="4445" t="4445" r="12065" b="61595"/>
            <wp:wrapTight wrapText="bothSides">
              <wp:wrapPolygon>
                <wp:start x="-21" y="-34"/>
                <wp:lineTo x="-21" y="21488"/>
                <wp:lineTo x="21567" y="21488"/>
                <wp:lineTo x="21567" y="-34"/>
                <wp:lineTo x="-21" y="-34"/>
              </wp:wrapPolygon>
            </wp:wrapTight>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pPr>
        <w:topLinePunct/>
        <w:spacing w:line="540" w:lineRule="exact"/>
        <w:ind w:firstLine="632" w:firstLineChars="200"/>
        <w:rPr>
          <w:rFonts w:hint="eastAsia" w:eastAsia="方正仿宋_GBK"/>
          <w:color w:val="000000"/>
          <w:highlight w:val="yellow"/>
          <w:lang w:eastAsia="zh-CN"/>
        </w:rPr>
      </w:pPr>
    </w:p>
    <w:p>
      <w:pPr>
        <w:pStyle w:val="3"/>
        <w:keepNext w:val="0"/>
        <w:keepLines w:val="0"/>
        <w:topLinePunct/>
        <w:spacing w:before="0" w:after="0" w:line="540" w:lineRule="exact"/>
        <w:ind w:firstLine="632" w:firstLineChars="200"/>
        <w:rPr>
          <w:rFonts w:ascii="Times New Roman" w:hAnsi="Times New Roman" w:eastAsia="方正黑体_GBK" w:cs="Times New Roman"/>
          <w:b w:val="0"/>
          <w:bCs w:val="0"/>
          <w:color w:val="000000"/>
        </w:rPr>
      </w:pPr>
      <w:bookmarkStart w:id="25" w:name="_Toc15377206"/>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bookmarkStart w:id="26" w:name="_Toc80711331"/>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rPr>
          <w:rFonts w:hint="eastAsia" w:ascii="Times New Roman" w:hAnsi="Times New Roman" w:eastAsia="方正黑体_GBK" w:cs="Times New Roman"/>
          <w:b w:val="0"/>
          <w:bCs w:val="0"/>
          <w:color w:val="000000"/>
        </w:rPr>
      </w:pPr>
    </w:p>
    <w:p>
      <w:pPr>
        <w:rPr>
          <w:rFonts w:hint="eastAsia" w:ascii="Times New Roman" w:hAnsi="Times New Roman" w:eastAsia="方正黑体_GBK" w:cs="Times New Roman"/>
          <w:b w:val="0"/>
          <w:bCs w:val="0"/>
          <w:color w:val="000000"/>
        </w:rPr>
      </w:pPr>
    </w:p>
    <w:p>
      <w:pPr>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eastAsia="方正黑体_GBK"/>
          <w:b w:val="0"/>
          <w:color w:val="000000"/>
        </w:rPr>
      </w:pPr>
      <w:r>
        <w:rPr>
          <w:rFonts w:hint="eastAsia" w:ascii="Times New Roman" w:hAnsi="Times New Roman" w:eastAsia="方正黑体_GBK" w:cs="Times New Roman"/>
          <w:b w:val="0"/>
          <w:bCs w:val="0"/>
          <w:color w:val="000000"/>
        </w:rPr>
        <w:t>二、</w:t>
      </w:r>
      <w:r>
        <w:rPr>
          <w:rFonts w:ascii="Times New Roman" w:hAnsi="Times New Roman" w:eastAsia="方正黑体_GBK" w:cs="Times New Roman"/>
          <w:b w:val="0"/>
          <w:bCs w:val="0"/>
          <w:color w:val="000000"/>
        </w:rPr>
        <w:t>收</w:t>
      </w:r>
      <w:r>
        <w:rPr>
          <w:rFonts w:hint="eastAsia" w:eastAsia="方正黑体_GBK"/>
          <w:b w:val="0"/>
          <w:color w:val="000000"/>
        </w:rPr>
        <w:t>入决算情况说明</w:t>
      </w:r>
      <w:bookmarkEnd w:id="25"/>
      <w:bookmarkEnd w:id="26"/>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r>
        <w:rPr>
          <w:rFonts w:hint="eastAsia" w:ascii="Times New Roman" w:hAnsi="Times New Roman" w:eastAsia="宋体" w:cs="Times New Roman"/>
          <w:b w:val="0"/>
          <w:bCs/>
          <w:kern w:val="44"/>
          <w:sz w:val="28"/>
          <w:szCs w:val="28"/>
          <w:lang w:val="en-US" w:eastAsia="zh-CN" w:bidi="ar-SA"/>
        </w:rPr>
        <w:t>2020年本年收入合计10687万元，与上年相比减少2541.85万元，主要原因受新冠疫情影响而导致业务量大幅下降。其中：一般公共预算财政拨款收入1188.89万元，占11.12%；政府性基金预算财政拨款收入786.24万元，占7.35%；事业收入7915.06万元，占74.07%；其他收入797万元，占7.46%。</w:t>
      </w:r>
    </w:p>
    <w:p>
      <w:pPr>
        <w:topLinePunct/>
        <w:spacing w:line="540" w:lineRule="exact"/>
        <w:rPr>
          <w:rFonts w:eastAsia="方正仿宋_GBK"/>
          <w:color w:val="000000"/>
        </w:rPr>
      </w:pPr>
    </w:p>
    <w:p>
      <w:pPr>
        <w:topLinePunct/>
        <w:spacing w:line="540" w:lineRule="exact"/>
        <w:ind w:firstLine="632" w:firstLineChars="200"/>
        <w:rPr>
          <w:rFonts w:hint="eastAsia" w:eastAsia="方正仿宋_GBK"/>
          <w:color w:val="000000"/>
          <w:highlight w:val="none"/>
          <w:lang w:eastAsia="zh-CN"/>
        </w:rPr>
      </w:pPr>
      <w:r>
        <w:rPr>
          <w:rFonts w:hint="eastAsia" w:eastAsia="方正仿宋_GBK"/>
          <w:color w:val="000000"/>
          <w:highlight w:val="none"/>
          <w:lang w:eastAsia="zh-CN"/>
        </w:rPr>
        <w:drawing>
          <wp:anchor distT="0" distB="0" distL="114300" distR="114300" simplePos="0" relativeHeight="251660288" behindDoc="0" locked="0" layoutInCell="1" allowOverlap="1">
            <wp:simplePos x="0" y="0"/>
            <wp:positionH relativeFrom="column">
              <wp:posOffset>367665</wp:posOffset>
            </wp:positionH>
            <wp:positionV relativeFrom="paragraph">
              <wp:posOffset>497840</wp:posOffset>
            </wp:positionV>
            <wp:extent cx="4289425" cy="2915285"/>
            <wp:effectExtent l="4445" t="4445" r="11430" b="13970"/>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r>
        <w:rPr>
          <w:rFonts w:eastAsia="方正仿宋_GBK"/>
          <w:color w:val="000000"/>
          <w:highlight w:val="none"/>
        </w:rPr>
        <w:t>（图2：收入决算结构图）</w:t>
      </w:r>
    </w:p>
    <w:p>
      <w:pPr>
        <w:topLinePunct/>
        <w:spacing w:line="540" w:lineRule="exact"/>
        <w:ind w:firstLine="632" w:firstLineChars="200"/>
        <w:rPr>
          <w:rFonts w:eastAsia="方正仿宋_GBK"/>
          <w:color w:val="000000"/>
          <w:highlight w:val="none"/>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pStyle w:val="3"/>
        <w:keepNext w:val="0"/>
        <w:keepLines w:val="0"/>
        <w:topLinePunct/>
        <w:spacing w:before="0" w:after="0" w:line="540" w:lineRule="exact"/>
        <w:ind w:firstLine="632" w:firstLineChars="200"/>
        <w:rPr>
          <w:rFonts w:ascii="Times New Roman" w:hAnsi="Times New Roman" w:eastAsia="方正黑体_GBK" w:cs="Times New Roman"/>
          <w:b w:val="0"/>
          <w:bCs w:val="0"/>
          <w:color w:val="000000"/>
        </w:rPr>
      </w:pPr>
      <w:bookmarkStart w:id="27" w:name="_Toc15377207"/>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bookmarkStart w:id="28" w:name="_Toc80711332"/>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hint="eastAsia"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eastAsia="方正黑体_GBK"/>
          <w:b w:val="0"/>
          <w:color w:val="000000"/>
        </w:rPr>
      </w:pPr>
      <w:r>
        <w:rPr>
          <w:rFonts w:hint="eastAsia" w:ascii="Times New Roman" w:hAnsi="Times New Roman" w:eastAsia="方正黑体_GBK" w:cs="Times New Roman"/>
          <w:b w:val="0"/>
          <w:bCs w:val="0"/>
          <w:color w:val="000000"/>
        </w:rPr>
        <w:t>三、</w:t>
      </w:r>
      <w:r>
        <w:rPr>
          <w:rFonts w:ascii="Times New Roman" w:hAnsi="Times New Roman" w:eastAsia="方正黑体_GBK" w:cs="Times New Roman"/>
          <w:b w:val="0"/>
          <w:bCs w:val="0"/>
          <w:color w:val="000000"/>
        </w:rPr>
        <w:t>支</w:t>
      </w:r>
      <w:r>
        <w:rPr>
          <w:rFonts w:hint="eastAsia" w:eastAsia="方正黑体_GBK"/>
          <w:b w:val="0"/>
          <w:color w:val="000000"/>
        </w:rPr>
        <w:t>出决算情况说明</w:t>
      </w:r>
      <w:bookmarkEnd w:id="27"/>
      <w:bookmarkEnd w:id="28"/>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r>
        <w:rPr>
          <w:rFonts w:hint="eastAsia" w:ascii="Times New Roman" w:hAnsi="Times New Roman" w:eastAsia="宋体" w:cs="Times New Roman"/>
          <w:b w:val="0"/>
          <w:bCs/>
          <w:kern w:val="44"/>
          <w:sz w:val="28"/>
          <w:szCs w:val="28"/>
          <w:lang w:val="en-US" w:eastAsia="zh-CN" w:bidi="ar-SA"/>
        </w:rPr>
        <w:t>2020年本年支出合计11788万元，，与上年相比减少686.94万元，主要变动受新冠疫情影响收入下降而导致的各项支出相应减少。其中：基本支出9812.56万元，占83.24%，；项目支出1975.13万元，占16.76%。</w:t>
      </w:r>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p>
    <w:p>
      <w:pPr>
        <w:topLinePunct/>
        <w:spacing w:line="540" w:lineRule="exact"/>
        <w:ind w:firstLine="632" w:firstLineChars="200"/>
        <w:rPr>
          <w:rFonts w:eastAsia="方正仿宋_GBK"/>
          <w:color w:val="000000"/>
          <w:highlight w:val="none"/>
        </w:rPr>
      </w:pPr>
      <w:r>
        <w:rPr>
          <w:rFonts w:eastAsia="方正仿宋_GBK"/>
          <w:color w:val="000000"/>
          <w:highlight w:val="none"/>
        </w:rPr>
        <w:t>（图3：支出决算结构图）</w:t>
      </w:r>
    </w:p>
    <w:p>
      <w:pPr>
        <w:topLinePunct/>
        <w:spacing w:line="540" w:lineRule="exact"/>
        <w:ind w:firstLine="632" w:firstLineChars="200"/>
        <w:rPr>
          <w:rFonts w:hint="eastAsia" w:eastAsia="方正仿宋_GBK"/>
          <w:color w:val="000000"/>
          <w:highlight w:val="yellow"/>
          <w:lang w:eastAsia="zh-CN"/>
        </w:rPr>
      </w:pPr>
      <w:r>
        <w:rPr>
          <w:rFonts w:hint="eastAsia" w:eastAsia="方正仿宋_GBK"/>
          <w:color w:val="000000"/>
          <w:highlight w:val="yellow"/>
          <w:lang w:eastAsia="zh-CN"/>
        </w:rPr>
        <w:drawing>
          <wp:anchor distT="0" distB="0" distL="114300" distR="114300" simplePos="0" relativeHeight="251661312" behindDoc="0" locked="0" layoutInCell="1" allowOverlap="1">
            <wp:simplePos x="0" y="0"/>
            <wp:positionH relativeFrom="column">
              <wp:posOffset>281940</wp:posOffset>
            </wp:positionH>
            <wp:positionV relativeFrom="paragraph">
              <wp:posOffset>186690</wp:posOffset>
            </wp:positionV>
            <wp:extent cx="4090035" cy="3048000"/>
            <wp:effectExtent l="4445" t="4445" r="20320" b="14605"/>
            <wp:wrapSquare wrapText="bothSides"/>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eastAsia="方正仿宋_GBK"/>
          <w:color w:val="FF0000"/>
        </w:rPr>
      </w:pPr>
    </w:p>
    <w:p>
      <w:pPr>
        <w:topLinePunct/>
        <w:spacing w:line="540" w:lineRule="exact"/>
        <w:ind w:firstLine="632" w:firstLineChars="200"/>
        <w:outlineLvl w:val="1"/>
        <w:rPr>
          <w:rFonts w:hint="eastAsia" w:ascii="方正黑体_GBK" w:eastAsia="方正黑体_GBK"/>
          <w:color w:val="000000"/>
        </w:rPr>
      </w:pPr>
      <w:bookmarkStart w:id="29" w:name="_Toc15377208"/>
      <w:bookmarkStart w:id="30" w:name="_Toc80711333"/>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Style w:val="28"/>
          <w:rFonts w:ascii="方正黑体_GBK" w:hAnsi="Times New Roman" w:eastAsia="方正黑体_GBK" w:cs="Times New Roman"/>
          <w:b w:val="0"/>
          <w:bCs w:val="0"/>
        </w:rPr>
      </w:pPr>
      <w:r>
        <w:rPr>
          <w:rFonts w:hint="eastAsia" w:ascii="方正黑体_GBK" w:eastAsia="方正黑体_GBK"/>
          <w:color w:val="000000"/>
        </w:rPr>
        <w:t>四、财</w:t>
      </w:r>
      <w:r>
        <w:rPr>
          <w:rStyle w:val="28"/>
          <w:rFonts w:hint="eastAsia" w:ascii="方正黑体_GBK" w:hAnsi="Times New Roman" w:eastAsia="方正黑体_GBK" w:cs="Times New Roman"/>
          <w:b w:val="0"/>
          <w:bCs w:val="0"/>
        </w:rPr>
        <w:t>政拨款收入支出决算总体情况说明</w:t>
      </w:r>
      <w:bookmarkEnd w:id="29"/>
      <w:bookmarkEnd w:id="30"/>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r>
        <w:rPr>
          <w:rFonts w:hint="eastAsia" w:ascii="Times New Roman" w:hAnsi="Times New Roman" w:eastAsia="宋体" w:cs="Times New Roman"/>
          <w:b w:val="0"/>
          <w:bCs/>
          <w:kern w:val="44"/>
          <w:sz w:val="28"/>
          <w:szCs w:val="28"/>
          <w:lang w:val="en-US" w:eastAsia="zh-CN" w:bidi="ar-SA"/>
        </w:rPr>
        <w:t>2020年财政拨款收入1975.13万元，支出总计1975.13万元。与2019年相比，财政拨款收、支总计各增加895.87万元，增长83%。主要变动原因是为由于受疫情影响，为提升基层服务能力和防治能力，我院申报了2020年抗疫特别国债需求，且符合2020年抗疫特别国债使用项目的范围需求，因此增加了政府性基金预算财政拨款786.24万元。</w:t>
      </w: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rPr>
          <w:rFonts w:eastAsia="方正仿宋_GBK"/>
          <w:b/>
          <w:bCs/>
          <w:color w:val="00B050"/>
          <w:highlight w:val="none"/>
        </w:rPr>
      </w:pPr>
      <w:r>
        <w:rPr>
          <w:rFonts w:eastAsia="方正仿宋_GBK"/>
          <w:color w:val="000000"/>
          <w:highlight w:val="none"/>
        </w:rPr>
        <w:t>（图4：财政拨款收、支决算总计变动情况）</w:t>
      </w:r>
    </w:p>
    <w:p>
      <w:pPr>
        <w:topLinePunct/>
        <w:spacing w:line="540" w:lineRule="exact"/>
        <w:ind w:firstLine="632" w:firstLineChars="200"/>
        <w:outlineLvl w:val="1"/>
        <w:rPr>
          <w:rFonts w:ascii="方正黑体_GBK" w:eastAsia="方正黑体_GBK"/>
          <w:color w:val="000000"/>
        </w:rPr>
      </w:pPr>
      <w:bookmarkStart w:id="31" w:name="_Toc80711334"/>
      <w:bookmarkStart w:id="32" w:name="_Toc15377209"/>
      <w:r>
        <w:rPr>
          <w:rFonts w:hint="eastAsia" w:eastAsia="方正仿宋_GBK"/>
          <w:color w:val="000000"/>
          <w:highlight w:val="yellow"/>
          <w:lang w:eastAsia="zh-CN"/>
        </w:rPr>
        <w:drawing>
          <wp:anchor distT="0" distB="0" distL="114300" distR="114300" simplePos="0" relativeHeight="251662336" behindDoc="0" locked="0" layoutInCell="1" allowOverlap="1">
            <wp:simplePos x="0" y="0"/>
            <wp:positionH relativeFrom="column">
              <wp:posOffset>285750</wp:posOffset>
            </wp:positionH>
            <wp:positionV relativeFrom="paragraph">
              <wp:posOffset>443865</wp:posOffset>
            </wp:positionV>
            <wp:extent cx="4585335" cy="2981960"/>
            <wp:effectExtent l="4445" t="4445" r="20320" b="23495"/>
            <wp:wrapTopAndBottom/>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topLinePunct/>
        <w:spacing w:line="540" w:lineRule="exact"/>
        <w:ind w:firstLine="632" w:firstLineChars="200"/>
        <w:outlineLvl w:val="1"/>
        <w:rPr>
          <w:rFonts w:ascii="方正黑体_GBK" w:eastAsia="方正黑体_GBK"/>
          <w:color w:val="000000"/>
        </w:rPr>
      </w:pPr>
    </w:p>
    <w:p>
      <w:pPr>
        <w:topLinePunct/>
        <w:spacing w:line="540" w:lineRule="exact"/>
        <w:ind w:firstLine="632" w:firstLineChars="200"/>
        <w:outlineLvl w:val="1"/>
        <w:rPr>
          <w:rFonts w:ascii="方正黑体_GBK" w:eastAsia="方正黑体_GBK"/>
          <w:color w:val="000000"/>
        </w:rPr>
      </w:pPr>
    </w:p>
    <w:p>
      <w:pPr>
        <w:topLinePunct/>
        <w:spacing w:line="540" w:lineRule="exact"/>
        <w:ind w:firstLine="316" w:firstLineChars="100"/>
        <w:outlineLvl w:val="1"/>
        <w:rPr>
          <w:rFonts w:ascii="方正黑体_GBK" w:eastAsia="方正黑体_GBK"/>
          <w:color w:val="000000"/>
        </w:rPr>
      </w:pPr>
      <w:r>
        <w:rPr>
          <w:rFonts w:ascii="方正黑体_GBK" w:eastAsia="方正黑体_GBK"/>
          <w:color w:val="000000"/>
        </w:rPr>
        <w:t>五、一般公共预算财政拨款支出决算情况说明</w:t>
      </w:r>
      <w:bookmarkEnd w:id="31"/>
      <w:bookmarkEnd w:id="32"/>
    </w:p>
    <w:p>
      <w:pPr>
        <w:topLinePunct/>
        <w:spacing w:line="540" w:lineRule="exact"/>
        <w:ind w:firstLine="632" w:firstLineChars="200"/>
        <w:outlineLvl w:val="2"/>
        <w:rPr>
          <w:rFonts w:ascii="方正楷体_GBK" w:eastAsia="方正楷体_GBK"/>
          <w:bCs/>
          <w:color w:val="000000"/>
        </w:rPr>
      </w:pPr>
      <w:bookmarkStart w:id="33" w:name="_Toc15377210"/>
      <w:r>
        <w:rPr>
          <w:rFonts w:hint="eastAsia" w:ascii="方正楷体_GBK" w:eastAsia="方正楷体_GBK"/>
          <w:bCs/>
          <w:color w:val="000000"/>
        </w:rPr>
        <w:t>（一）一般公共预算财政拨款支出决算总体情况</w:t>
      </w:r>
      <w:bookmarkEnd w:id="33"/>
    </w:p>
    <w:p>
      <w:pPr>
        <w:pStyle w:val="7"/>
        <w:topLinePunct/>
        <w:adjustRightInd w:val="0"/>
        <w:spacing w:after="0"/>
        <w:ind w:firstLine="580" w:firstLineChars="210"/>
        <w:outlineLvl w:val="1"/>
        <w:rPr>
          <w:rFonts w:hint="eastAsia" w:ascii="Times New Roman" w:hAnsi="Times New Roman" w:eastAsia="宋体" w:cs="Times New Roman"/>
          <w:b w:val="0"/>
          <w:bCs/>
          <w:kern w:val="44"/>
          <w:sz w:val="28"/>
          <w:szCs w:val="28"/>
          <w:lang w:val="en-US" w:eastAsia="zh-CN" w:bidi="ar-SA"/>
        </w:rPr>
      </w:pPr>
      <w:r>
        <w:rPr>
          <w:rFonts w:hint="eastAsia" w:ascii="Times New Roman" w:hAnsi="Times New Roman" w:eastAsia="宋体" w:cs="Times New Roman"/>
          <w:b w:val="0"/>
          <w:bCs/>
          <w:kern w:val="44"/>
          <w:sz w:val="28"/>
          <w:szCs w:val="28"/>
          <w:lang w:val="en-US" w:eastAsia="zh-CN" w:bidi="ar-SA"/>
        </w:rPr>
        <w:t>2020年一般公共预算财政拨款支出1188.9万元，占本年支出合计的10.09%。与2019年相比，一般公共预算财政拨款增加109.64万元，增长10.16%。主要变动原因是受疫情影响，增加有对新型冠状病毒肺炎疫情防控应急专项资金。</w:t>
      </w: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highlight w:val="none"/>
        </w:rPr>
      </w:pPr>
      <w:r>
        <w:rPr>
          <w:rFonts w:eastAsia="方正仿宋_GBK"/>
          <w:color w:val="000000"/>
          <w:highlight w:val="none"/>
        </w:rPr>
        <w:t>（图5：一般公共预算财政拨款支出决算变动情况）</w:t>
      </w:r>
    </w:p>
    <w:p>
      <w:pPr>
        <w:topLinePunct/>
        <w:spacing w:line="540" w:lineRule="exact"/>
        <w:ind w:firstLine="632" w:firstLineChars="200"/>
        <w:rPr>
          <w:rFonts w:eastAsia="方正仿宋_GBK"/>
          <w:color w:val="000000"/>
          <w:highlight w:val="yellow"/>
        </w:rPr>
      </w:pPr>
    </w:p>
    <w:p>
      <w:pPr>
        <w:topLinePunct/>
        <w:spacing w:line="540" w:lineRule="exact"/>
        <w:ind w:firstLine="632" w:firstLineChars="200"/>
        <w:rPr>
          <w:rFonts w:hint="eastAsia" w:eastAsia="方正仿宋_GBK"/>
          <w:color w:val="000000"/>
          <w:highlight w:val="yellow"/>
          <w:lang w:eastAsia="zh-CN"/>
        </w:rPr>
      </w:pPr>
      <w:r>
        <w:rPr>
          <w:rFonts w:hint="eastAsia" w:eastAsia="方正仿宋_GBK"/>
          <w:color w:val="000000"/>
          <w:highlight w:val="yellow"/>
          <w:lang w:eastAsia="zh-CN"/>
        </w:rPr>
        <w:drawing>
          <wp:anchor distT="0" distB="0" distL="114300" distR="114300" simplePos="0" relativeHeight="251663360" behindDoc="0" locked="0" layoutInCell="1" allowOverlap="1">
            <wp:simplePos x="0" y="0"/>
            <wp:positionH relativeFrom="column">
              <wp:posOffset>396240</wp:posOffset>
            </wp:positionH>
            <wp:positionV relativeFrom="paragraph">
              <wp:posOffset>24765</wp:posOffset>
            </wp:positionV>
            <wp:extent cx="4413250" cy="2429510"/>
            <wp:effectExtent l="4445" t="4445" r="20955" b="23495"/>
            <wp:wrapTopAndBottom/>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topLinePunct/>
        <w:spacing w:line="540" w:lineRule="exact"/>
        <w:ind w:firstLine="632" w:firstLineChars="200"/>
        <w:rPr>
          <w:rFonts w:eastAsia="方正仿宋_GBK"/>
          <w:color w:val="000000"/>
        </w:rPr>
      </w:pPr>
    </w:p>
    <w:p>
      <w:pPr>
        <w:topLinePunct/>
        <w:spacing w:line="540" w:lineRule="exact"/>
        <w:ind w:firstLine="632" w:firstLineChars="200"/>
        <w:outlineLvl w:val="2"/>
        <w:rPr>
          <w:rFonts w:ascii="方正楷体_GBK" w:eastAsia="方正楷体_GBK"/>
          <w:bCs/>
          <w:color w:val="000000"/>
        </w:rPr>
      </w:pPr>
      <w:bookmarkStart w:id="34" w:name="_Toc15377211"/>
      <w:r>
        <w:rPr>
          <w:rFonts w:ascii="方正楷体_GBK" w:eastAsia="方正楷体_GBK"/>
          <w:bCs/>
          <w:color w:val="000000"/>
        </w:rPr>
        <w:t>（二）一般公共预算财政拨款支出决算结构情况</w:t>
      </w:r>
      <w:bookmarkEnd w:id="34"/>
    </w:p>
    <w:p>
      <w:pPr>
        <w:spacing w:line="600" w:lineRule="exact"/>
        <w:ind w:firstLine="640"/>
        <w:rPr>
          <w:rFonts w:hint="eastAsia" w:ascii="仿宋" w:hAnsi="仿宋" w:eastAsia="仿宋"/>
          <w:color w:val="000000"/>
        </w:rPr>
      </w:pPr>
      <w:r>
        <w:rPr>
          <w:rFonts w:ascii="仿宋" w:hAnsi="仿宋" w:eastAsia="仿宋"/>
          <w:color w:val="000000"/>
        </w:rPr>
        <w:t>2020年</w:t>
      </w:r>
      <w:r>
        <w:rPr>
          <w:rFonts w:hint="eastAsia" w:ascii="仿宋" w:hAnsi="仿宋" w:eastAsia="仿宋"/>
          <w:color w:val="000000"/>
        </w:rPr>
        <w:t>一般公共预算财政拨款支出1188.9万元，主要用于以下方面</w:t>
      </w:r>
      <w:r>
        <w:rPr>
          <w:rFonts w:ascii="仿宋" w:hAnsi="仿宋" w:eastAsia="仿宋"/>
          <w:color w:val="000000"/>
        </w:rPr>
        <w:t>:</w:t>
      </w:r>
      <w:r>
        <w:rPr>
          <w:rFonts w:hint="eastAsia" w:ascii="仿宋" w:hAnsi="仿宋" w:eastAsia="仿宋"/>
          <w:color w:val="000000"/>
        </w:rPr>
        <w:t xml:space="preserve">卫生健康支出1188.9万元，占100%。 </w:t>
      </w:r>
    </w:p>
    <w:p>
      <w:pPr>
        <w:spacing w:line="600" w:lineRule="exact"/>
        <w:ind w:firstLine="640"/>
        <w:rPr>
          <w:rFonts w:hint="eastAsia" w:ascii="仿宋" w:hAnsi="仿宋" w:eastAsia="仿宋"/>
          <w:color w:val="000000"/>
        </w:rPr>
      </w:pPr>
    </w:p>
    <w:p>
      <w:pPr>
        <w:topLinePunct/>
        <w:spacing w:line="540" w:lineRule="exact"/>
        <w:ind w:firstLine="632" w:firstLineChars="200"/>
        <w:rPr>
          <w:rFonts w:eastAsia="方正仿宋_GBK"/>
          <w:color w:val="000000"/>
          <w:highlight w:val="none"/>
        </w:rPr>
      </w:pPr>
      <w:r>
        <w:rPr>
          <w:rFonts w:eastAsia="方正仿宋_GBK"/>
          <w:color w:val="000000"/>
          <w:highlight w:val="none"/>
        </w:rPr>
        <w:t>（图6：一般公共预算财政拨款支出决算结构）</w:t>
      </w:r>
    </w:p>
    <w:p>
      <w:pPr>
        <w:topLinePunct/>
        <w:spacing w:line="540" w:lineRule="exact"/>
        <w:ind w:firstLine="632" w:firstLineChars="200"/>
        <w:rPr>
          <w:rFonts w:hint="eastAsia" w:eastAsia="方正仿宋_GBK"/>
          <w:color w:val="000000"/>
          <w:highlight w:val="yellow"/>
          <w:lang w:eastAsia="zh-CN"/>
        </w:rPr>
      </w:pPr>
      <w:r>
        <w:rPr>
          <w:rFonts w:hint="eastAsia" w:eastAsia="方正仿宋_GBK"/>
          <w:color w:val="000000"/>
          <w:highlight w:val="yellow"/>
          <w:lang w:eastAsia="zh-CN"/>
        </w:rPr>
        <w:drawing>
          <wp:anchor distT="0" distB="0" distL="114300" distR="114300" simplePos="0" relativeHeight="251664384" behindDoc="0" locked="0" layoutInCell="1" allowOverlap="1">
            <wp:simplePos x="0" y="0"/>
            <wp:positionH relativeFrom="column">
              <wp:posOffset>291465</wp:posOffset>
            </wp:positionH>
            <wp:positionV relativeFrom="paragraph">
              <wp:posOffset>76200</wp:posOffset>
            </wp:positionV>
            <wp:extent cx="4117340" cy="2619375"/>
            <wp:effectExtent l="4445" t="4445" r="12065" b="5080"/>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topLinePunct/>
        <w:spacing w:line="540" w:lineRule="exact"/>
        <w:ind w:firstLine="316" w:firstLineChars="100"/>
        <w:outlineLvl w:val="2"/>
        <w:rPr>
          <w:rFonts w:ascii="方正楷体_GBK" w:eastAsia="方正楷体_GBK"/>
          <w:bCs/>
          <w:color w:val="000000"/>
        </w:rPr>
      </w:pPr>
      <w:bookmarkStart w:id="35" w:name="_Toc15377212"/>
      <w:r>
        <w:rPr>
          <w:rFonts w:ascii="方正楷体_GBK" w:eastAsia="方正楷体_GBK"/>
          <w:bCs/>
          <w:color w:val="000000"/>
        </w:rPr>
        <w:t>（三）一般公共预算财政拨款支出决算具体情况</w:t>
      </w:r>
      <w:bookmarkEnd w:id="35"/>
    </w:p>
    <w:p>
      <w:pPr>
        <w:spacing w:line="600" w:lineRule="exact"/>
        <w:ind w:firstLine="640"/>
        <w:rPr>
          <w:rFonts w:hint="eastAsia" w:ascii="仿宋" w:hAnsi="仿宋" w:eastAsia="仿宋"/>
          <w:color w:val="000000"/>
        </w:rPr>
      </w:pPr>
      <w:bookmarkStart w:id="36" w:name="_Toc15377213"/>
      <w:bookmarkStart w:id="37" w:name="_Toc15378460"/>
      <w:bookmarkStart w:id="38" w:name="_Toc15377444"/>
      <w:r>
        <w:rPr>
          <w:rFonts w:ascii="仿宋" w:hAnsi="仿宋" w:eastAsia="仿宋"/>
          <w:color w:val="000000"/>
        </w:rPr>
        <w:t>2020年一般公共预算支出决算数为</w:t>
      </w:r>
      <w:r>
        <w:rPr>
          <w:rFonts w:hint="eastAsia" w:ascii="仿宋" w:hAnsi="仿宋" w:eastAsia="仿宋"/>
          <w:color w:val="000000"/>
        </w:rPr>
        <w:t>1188.9万元</w:t>
      </w:r>
      <w:r>
        <w:rPr>
          <w:rFonts w:ascii="仿宋" w:hAnsi="仿宋" w:eastAsia="仿宋"/>
          <w:color w:val="000000"/>
        </w:rPr>
        <w:t>，完成预算</w:t>
      </w:r>
      <w:r>
        <w:rPr>
          <w:rFonts w:hint="eastAsia" w:ascii="仿宋" w:hAnsi="仿宋" w:eastAsia="仿宋"/>
          <w:color w:val="000000"/>
        </w:rPr>
        <w:t>100</w:t>
      </w:r>
      <w:r>
        <w:rPr>
          <w:rFonts w:ascii="仿宋" w:hAnsi="仿宋" w:eastAsia="仿宋"/>
          <w:color w:val="000000"/>
        </w:rPr>
        <w:t>%。其中：</w:t>
      </w:r>
      <w:bookmarkEnd w:id="36"/>
      <w:bookmarkEnd w:id="37"/>
      <w:bookmarkEnd w:id="38"/>
    </w:p>
    <w:p>
      <w:pPr>
        <w:spacing w:line="600" w:lineRule="exact"/>
        <w:ind w:firstLine="640"/>
        <w:rPr>
          <w:rFonts w:hint="eastAsia" w:ascii="仿宋" w:hAnsi="仿宋" w:eastAsia="仿宋"/>
          <w:color w:val="000000"/>
        </w:rPr>
      </w:pPr>
      <w:r>
        <w:rPr>
          <w:rFonts w:hint="eastAsia" w:ascii="仿宋" w:hAnsi="仿宋" w:eastAsia="仿宋"/>
          <w:color w:val="000000"/>
        </w:rPr>
        <w:t>1.2100199其他卫生健康管理事务支出：支出决算为230.67万元，完成预算100%，与预算数持平。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2.2100207儿童医院：支出决算为749.08万元，完成预算100%，与预算数持平。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3.2100299其他公立医院支出：支出决算为76.57万元，完成预算100%，与预算数持平。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4.2100408基本公共卫生服务：支出决算为17.76万元，完成预算100%，与预算数持平。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5.2100409重大公共卫生服务：支出决算为1.05万元，完成预算100%，与预算数持平。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6.2100410突发公共卫生事件应急处理：支出决算为30.294万元，完成预算100%，与预算数持平。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7.2100499其他公共卫生支出：支出决算为22.1万元，完成预算100%，与预算数持平。</w:t>
      </w:r>
    </w:p>
    <w:p>
      <w:pPr>
        <w:spacing w:line="600" w:lineRule="exact"/>
        <w:ind w:firstLine="640"/>
        <w:rPr>
          <w:rFonts w:hint="eastAsia" w:ascii="仿宋" w:hAnsi="仿宋" w:eastAsia="仿宋"/>
          <w:color w:val="000000"/>
        </w:rPr>
      </w:pPr>
      <w:r>
        <w:rPr>
          <w:rFonts w:hint="eastAsia" w:ascii="仿宋" w:hAnsi="仿宋" w:eastAsia="仿宋"/>
          <w:color w:val="000000"/>
        </w:rPr>
        <w:t>8.2101102事业单位医疗：支出决算为13.167万元，完成预算100%，与预算数持平。</w:t>
      </w:r>
    </w:p>
    <w:p>
      <w:pPr>
        <w:spacing w:line="600" w:lineRule="exact"/>
        <w:ind w:firstLine="640"/>
        <w:rPr>
          <w:rFonts w:ascii="仿宋" w:hAnsi="仿宋" w:eastAsia="仿宋"/>
          <w:color w:val="000000"/>
        </w:rPr>
      </w:pPr>
      <w:r>
        <w:rPr>
          <w:rFonts w:hint="eastAsia" w:ascii="仿宋" w:hAnsi="仿宋" w:eastAsia="仿宋"/>
          <w:color w:val="000000"/>
        </w:rPr>
        <w:t>9.2109901其他卫生健康支出：支出决算为48.21万元，完成预算100%，与预算数持平。</w:t>
      </w:r>
    </w:p>
    <w:p>
      <w:pPr>
        <w:topLinePunct/>
        <w:spacing w:line="540" w:lineRule="exact"/>
        <w:ind w:firstLine="632" w:firstLineChars="200"/>
        <w:outlineLvl w:val="1"/>
        <w:rPr>
          <w:rFonts w:ascii="方正黑体_GBK" w:eastAsia="方正黑体_GBK"/>
          <w:color w:val="000000"/>
        </w:rPr>
      </w:pPr>
      <w:bookmarkStart w:id="39" w:name="_Toc15377214"/>
      <w:bookmarkStart w:id="40" w:name="_Toc80711335"/>
      <w:r>
        <w:rPr>
          <w:rFonts w:hint="eastAsia" w:ascii="方正黑体_GBK" w:eastAsia="方正黑体_GBK"/>
          <w:color w:val="000000"/>
        </w:rPr>
        <w:t>六、一般公共预算财政拨款基本支出决算情况说明</w:t>
      </w:r>
      <w:bookmarkEnd w:id="39"/>
      <w:bookmarkEnd w:id="40"/>
      <w:r>
        <w:rPr>
          <w:rFonts w:hint="eastAsia" w:ascii="方正黑体_GBK" w:eastAsia="方正黑体_GBK"/>
          <w:color w:val="000000"/>
        </w:rPr>
        <w:tab/>
      </w:r>
    </w:p>
    <w:p>
      <w:pPr>
        <w:spacing w:line="600" w:lineRule="exact"/>
        <w:ind w:firstLine="640"/>
        <w:rPr>
          <w:rFonts w:hint="eastAsia" w:ascii="仿宋" w:hAnsi="仿宋" w:eastAsia="仿宋"/>
          <w:color w:val="000000"/>
        </w:rPr>
      </w:pPr>
      <w:r>
        <w:rPr>
          <w:rFonts w:hint="eastAsia" w:ascii="仿宋" w:hAnsi="仿宋" w:eastAsia="仿宋"/>
          <w:color w:val="000000"/>
        </w:rPr>
        <w:t>2020年一般公共预算财政拨款基本支出0万元，去年为802.25万元，造成差异的原因为我院拨款收入在今年首次纳入财政大平台，财政拨款全为项目拨款，无基本拨款类。</w:t>
      </w:r>
    </w:p>
    <w:p>
      <w:pPr>
        <w:topLinePunct/>
        <w:spacing w:line="540" w:lineRule="exact"/>
        <w:ind w:firstLine="640"/>
        <w:rPr>
          <w:rFonts w:eastAsia="方正仿宋_GBK"/>
          <w:b/>
          <w:bCs/>
          <w:color w:val="FF0000"/>
        </w:rPr>
      </w:pPr>
    </w:p>
    <w:p>
      <w:pPr>
        <w:topLinePunct/>
        <w:spacing w:line="540" w:lineRule="exact"/>
        <w:ind w:firstLine="632" w:firstLineChars="200"/>
        <w:outlineLvl w:val="1"/>
        <w:rPr>
          <w:rFonts w:ascii="方正黑体_GBK" w:eastAsia="方正黑体_GBK"/>
          <w:color w:val="000000"/>
        </w:rPr>
      </w:pPr>
      <w:bookmarkStart w:id="41" w:name="_Toc15377215"/>
      <w:bookmarkStart w:id="42" w:name="_Toc80711336"/>
      <w:r>
        <w:rPr>
          <w:rFonts w:ascii="方正黑体_GBK" w:eastAsia="方正黑体_GBK"/>
          <w:color w:val="000000"/>
        </w:rPr>
        <w:t>七、</w:t>
      </w:r>
      <w:r>
        <w:rPr>
          <w:rFonts w:ascii="方正黑体_GBK" w:eastAsia="方正黑体_GBK"/>
          <w:b/>
          <w:bCs/>
          <w:color w:val="000000"/>
        </w:rPr>
        <w:t>“</w:t>
      </w:r>
      <w:r>
        <w:rPr>
          <w:rFonts w:ascii="方正黑体_GBK" w:eastAsia="方正黑体_GBK"/>
          <w:color w:val="000000"/>
        </w:rPr>
        <w:t>三公”经费财政拨款支出决算情况说明</w:t>
      </w:r>
      <w:bookmarkEnd w:id="41"/>
      <w:bookmarkEnd w:id="42"/>
    </w:p>
    <w:p>
      <w:pPr>
        <w:topLinePunct/>
        <w:spacing w:line="540" w:lineRule="exact"/>
        <w:ind w:firstLine="640"/>
        <w:outlineLvl w:val="2"/>
        <w:rPr>
          <w:rFonts w:hint="eastAsia" w:ascii="方正楷体_GBK" w:eastAsia="方正楷体_GBK"/>
          <w:bCs/>
          <w:color w:val="000000"/>
        </w:rPr>
      </w:pPr>
      <w:bookmarkStart w:id="43" w:name="_Toc15377216"/>
      <w:r>
        <w:rPr>
          <w:rFonts w:hint="eastAsia" w:ascii="方正楷体_GBK" w:eastAsia="方正楷体_GBK"/>
          <w:bCs/>
          <w:color w:val="000000"/>
        </w:rPr>
        <w:t>（一）“三公”经费财政拨款支出决算总体情况说明</w:t>
      </w:r>
      <w:bookmarkEnd w:id="43"/>
    </w:p>
    <w:p>
      <w:pPr>
        <w:topLinePunct/>
        <w:spacing w:line="540" w:lineRule="exact"/>
        <w:ind w:firstLine="632" w:firstLineChars="200"/>
        <w:rPr>
          <w:rFonts w:hint="eastAsia" w:ascii="宋体" w:hAnsi="宋体" w:eastAsia="宋体" w:cs="宋体"/>
          <w:color w:val="000000"/>
          <w:sz w:val="28"/>
          <w:szCs w:val="28"/>
        </w:rPr>
      </w:pPr>
      <w:r>
        <w:rPr>
          <w:rFonts w:hint="eastAsia" w:ascii="仿宋" w:hAnsi="仿宋" w:eastAsia="仿宋"/>
          <w:color w:val="000000"/>
        </w:rPr>
        <w:t>我院2020年无三公经费财政拨款支出</w:t>
      </w:r>
    </w:p>
    <w:p>
      <w:pPr>
        <w:topLinePunct/>
        <w:spacing w:line="540" w:lineRule="exact"/>
        <w:rPr>
          <w:rFonts w:eastAsia="方正仿宋_GBK"/>
          <w:b/>
          <w:bCs/>
          <w:color w:val="FF0000"/>
        </w:rPr>
      </w:pPr>
    </w:p>
    <w:p>
      <w:pPr>
        <w:topLinePunct/>
        <w:spacing w:line="540" w:lineRule="exact"/>
        <w:ind w:firstLine="640"/>
        <w:outlineLvl w:val="2"/>
        <w:rPr>
          <w:rFonts w:hint="eastAsia" w:ascii="方正楷体_GBK" w:eastAsia="方正楷体_GBK"/>
          <w:bCs/>
          <w:color w:val="000000"/>
        </w:rPr>
      </w:pPr>
      <w:bookmarkStart w:id="44" w:name="_Toc15377217"/>
      <w:r>
        <w:rPr>
          <w:rFonts w:ascii="方正楷体_GBK" w:eastAsia="方正楷体_GBK"/>
          <w:bCs/>
          <w:color w:val="000000"/>
        </w:rPr>
        <w:t>（二）“三公”经费财政拨款支出决算具体情况说明</w:t>
      </w:r>
      <w:bookmarkEnd w:id="44"/>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我院2020年无三公经费财政拨款支出</w:t>
      </w:r>
    </w:p>
    <w:p>
      <w:pPr>
        <w:topLinePunct/>
        <w:spacing w:line="540" w:lineRule="exact"/>
        <w:ind w:firstLine="640"/>
        <w:outlineLvl w:val="2"/>
        <w:rPr>
          <w:rFonts w:ascii="方正楷体_GBK" w:eastAsia="方正楷体_GBK"/>
          <w:bCs/>
          <w:color w:val="000000"/>
        </w:rPr>
      </w:pPr>
    </w:p>
    <w:p>
      <w:pPr>
        <w:topLinePunct/>
        <w:spacing w:line="540" w:lineRule="exact"/>
        <w:ind w:firstLine="640"/>
        <w:rPr>
          <w:rFonts w:hint="eastAsia" w:eastAsia="方正仿宋_GBK"/>
          <w:b/>
          <w:bCs/>
          <w:color w:val="000000"/>
        </w:rPr>
      </w:pPr>
      <w:r>
        <w:rPr>
          <w:rFonts w:eastAsia="方正仿宋_GBK"/>
          <w:b/>
          <w:bCs/>
          <w:color w:val="000000"/>
        </w:rPr>
        <w:t>1.因公出国（境）经费支出</w:t>
      </w:r>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 xml:space="preserve">我院2020年无因公出国（境）经费支出 </w:t>
      </w:r>
    </w:p>
    <w:p>
      <w:pPr>
        <w:topLinePunct/>
        <w:spacing w:line="540" w:lineRule="exact"/>
        <w:ind w:firstLine="640"/>
        <w:rPr>
          <w:rFonts w:ascii="仿宋_GB2312" w:eastAsia="仿宋_GB2312"/>
          <w:color w:val="000000"/>
        </w:rPr>
      </w:pPr>
      <w:r>
        <w:rPr>
          <w:rFonts w:eastAsia="方正仿宋_GBK"/>
          <w:b/>
          <w:bCs/>
          <w:color w:val="000000"/>
        </w:rPr>
        <w:t>2.公务用车购置及运行维护费支出</w:t>
      </w:r>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我院2020年无公务用车购置及运行维护费支出</w:t>
      </w:r>
    </w:p>
    <w:p>
      <w:pPr>
        <w:topLinePunct/>
        <w:spacing w:line="540" w:lineRule="exact"/>
        <w:ind w:firstLine="640"/>
        <w:rPr>
          <w:rFonts w:ascii="仿宋_GB2312" w:eastAsia="仿宋_GB2312"/>
          <w:color w:val="000000"/>
        </w:rPr>
      </w:pPr>
      <w:r>
        <w:rPr>
          <w:rFonts w:eastAsia="方正仿宋_GBK"/>
          <w:b/>
          <w:bCs/>
          <w:color w:val="000000"/>
        </w:rPr>
        <w:t>3.公务接待费支出</w:t>
      </w:r>
      <w:bookmarkStart w:id="45" w:name="_Toc15377218"/>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我院2020年无公务接待费支出</w:t>
      </w:r>
    </w:p>
    <w:p>
      <w:pPr>
        <w:spacing w:line="600" w:lineRule="exact"/>
        <w:rPr>
          <w:rFonts w:eastAsia="方正仿宋_GBK"/>
          <w:color w:val="000000"/>
        </w:rPr>
      </w:pPr>
    </w:p>
    <w:p>
      <w:pPr>
        <w:topLinePunct/>
        <w:spacing w:line="540" w:lineRule="exact"/>
        <w:ind w:firstLine="640"/>
        <w:outlineLvl w:val="1"/>
        <w:rPr>
          <w:rStyle w:val="28"/>
          <w:rFonts w:ascii="方正黑体_GBK" w:hAnsi="Times New Roman" w:eastAsia="方正黑体_GBK" w:cs="Times New Roman"/>
        </w:rPr>
      </w:pPr>
      <w:bookmarkStart w:id="46" w:name="_Toc80711337"/>
      <w:r>
        <w:rPr>
          <w:rFonts w:hint="eastAsia" w:ascii="方正黑体_GBK" w:eastAsia="方正黑体_GBK"/>
          <w:color w:val="000000"/>
        </w:rPr>
        <w:t>八、</w:t>
      </w:r>
      <w:r>
        <w:rPr>
          <w:rStyle w:val="28"/>
          <w:rFonts w:hint="eastAsia" w:ascii="方正黑体_GBK" w:hAnsi="Times New Roman" w:eastAsia="方正黑体_GBK" w:cs="Times New Roman"/>
          <w:b w:val="0"/>
          <w:bCs w:val="0"/>
        </w:rPr>
        <w:t>政府性基金预算支出决算情况说明</w:t>
      </w:r>
      <w:bookmarkEnd w:id="45"/>
      <w:bookmarkEnd w:id="46"/>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2020年政府性基金预算财政拨款支出786.24万元，我院为第一次使用政府性基金，主要因2020年受新冠疫情的影响，我院申报了财政厅组织开展2020年特别国债申报工作，我院根据文件精神获得公共卫生体系建设和重大疫情防控救治体系建设相关项目，共获得2020年抗疫特别国债资金786.24万元，且按规定均使用完毕。</w:t>
      </w:r>
    </w:p>
    <w:p>
      <w:pPr>
        <w:topLinePunct/>
        <w:spacing w:line="540" w:lineRule="exact"/>
        <w:ind w:firstLine="640"/>
        <w:rPr>
          <w:rFonts w:eastAsia="方正仿宋_GBK"/>
          <w:color w:val="000000"/>
        </w:rPr>
      </w:pPr>
    </w:p>
    <w:p>
      <w:pPr>
        <w:topLinePunct/>
        <w:spacing w:line="540" w:lineRule="exact"/>
        <w:ind w:firstLine="640"/>
        <w:rPr>
          <w:rFonts w:eastAsia="方正仿宋_GBK"/>
          <w:color w:val="000000"/>
        </w:rPr>
      </w:pPr>
    </w:p>
    <w:p>
      <w:pPr>
        <w:topLinePunct/>
        <w:spacing w:line="540" w:lineRule="exact"/>
        <w:ind w:firstLine="640"/>
        <w:outlineLvl w:val="1"/>
        <w:rPr>
          <w:rFonts w:ascii="方正黑体_GBK" w:eastAsia="方正黑体_GBK"/>
          <w:color w:val="000000"/>
        </w:rPr>
      </w:pPr>
      <w:bookmarkStart w:id="47" w:name="_Toc80711338"/>
      <w:bookmarkStart w:id="48" w:name="_Toc15377219"/>
      <w:r>
        <w:rPr>
          <w:rFonts w:hint="eastAsia" w:ascii="方正黑体_GBK" w:eastAsia="方正黑体_GBK"/>
          <w:color w:val="000000"/>
        </w:rPr>
        <w:t>九、</w:t>
      </w:r>
      <w:r>
        <w:rPr>
          <w:rFonts w:ascii="方正黑体_GBK" w:eastAsia="方正黑体_GBK"/>
          <w:color w:val="000000"/>
        </w:rPr>
        <w:t>国有资本经营预算支出决算情况说明</w:t>
      </w:r>
      <w:bookmarkEnd w:id="47"/>
      <w:bookmarkEnd w:id="48"/>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我院2020年无国有资本经营预算财政拨款支出</w:t>
      </w:r>
    </w:p>
    <w:p>
      <w:pPr>
        <w:topLinePunct/>
        <w:spacing w:line="540" w:lineRule="exact"/>
        <w:ind w:firstLine="640"/>
        <w:rPr>
          <w:rFonts w:eastAsia="方正仿宋_GBK"/>
          <w:color w:val="000000"/>
        </w:rPr>
      </w:pPr>
    </w:p>
    <w:p>
      <w:pPr>
        <w:topLinePunct/>
        <w:spacing w:line="540" w:lineRule="exact"/>
        <w:ind w:firstLine="640"/>
        <w:outlineLvl w:val="1"/>
        <w:rPr>
          <w:rFonts w:ascii="方正黑体_GBK" w:eastAsia="方正黑体_GBK"/>
          <w:color w:val="000000"/>
        </w:rPr>
      </w:pPr>
      <w:bookmarkStart w:id="49" w:name="_Toc50044890"/>
      <w:bookmarkStart w:id="50" w:name="_Toc80711339"/>
      <w:r>
        <w:rPr>
          <w:rFonts w:hint="eastAsia" w:ascii="方正黑体_GBK" w:eastAsia="方正黑体_GBK"/>
          <w:color w:val="000000"/>
        </w:rPr>
        <w:t>十、预算绩效管理情况说明</w:t>
      </w:r>
      <w:bookmarkEnd w:id="49"/>
      <w:bookmarkEnd w:id="50"/>
    </w:p>
    <w:p>
      <w:pPr>
        <w:topLinePunct/>
        <w:spacing w:line="540" w:lineRule="exact"/>
        <w:ind w:firstLine="632" w:firstLineChars="200"/>
        <w:outlineLvl w:val="2"/>
        <w:rPr>
          <w:rFonts w:ascii="方正楷体_GBK" w:eastAsia="方正楷体_GBK"/>
          <w:bCs/>
          <w:color w:val="000000"/>
        </w:rPr>
      </w:pPr>
      <w:r>
        <w:rPr>
          <w:rFonts w:hint="eastAsia" w:ascii="方正楷体_GBK" w:eastAsia="方正楷体_GBK"/>
          <w:bCs/>
          <w:color w:val="000000"/>
        </w:rPr>
        <w:t>（一）预算绩效管理工作开展情况</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宋体" w:hAnsi="宋体" w:eastAsia="宋体" w:cs="宋体"/>
          <w:color w:val="000000"/>
          <w:sz w:val="28"/>
          <w:szCs w:val="28"/>
          <w:lang w:val="en-US" w:eastAsia="zh-CN"/>
        </w:rPr>
      </w:pPr>
      <w:r>
        <w:rPr>
          <w:rFonts w:hint="eastAsia" w:ascii="仿宋" w:hAnsi="仿宋" w:eastAsia="仿宋"/>
          <w:color w:val="000000"/>
          <w:lang w:val="en-US" w:eastAsia="zh-CN"/>
        </w:rPr>
        <w:t>根据预算绩效管理要求，本单位在年初预算编制阶段，组织对县级公立医院人员经费和卫生系统门诊补助专项项目开展了预算事前绩效评估，对2个专项项目编制了绩效目标；预算执行过程中，选取8个专项项目开展绩效监控；年终执行完毕后，对 10个专项项目开展了绩效自评。</w:t>
      </w:r>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（二）绩效自评</w:t>
      </w:r>
      <w:r>
        <w:rPr>
          <w:rFonts w:hint="eastAsia" w:ascii="方正楷体_GBK" w:eastAsia="方正楷体_GBK"/>
          <w:bCs/>
          <w:color w:val="000000"/>
        </w:rPr>
        <w:t>结果</w:t>
      </w:r>
    </w:p>
    <w:p>
      <w:pPr>
        <w:topLinePunct/>
        <w:spacing w:line="540" w:lineRule="exact"/>
        <w:ind w:firstLine="632" w:firstLineChars="200"/>
        <w:outlineLvl w:val="2"/>
        <w:rPr>
          <w:rFonts w:eastAsia="方正仿宋_GBK"/>
          <w:color w:val="000000"/>
        </w:rPr>
      </w:pPr>
      <w:r>
        <w:rPr>
          <w:rFonts w:hint="eastAsia" w:eastAsia="方正仿宋_GBK"/>
          <w:color w:val="000000"/>
        </w:rPr>
        <w:t>1.</w:t>
      </w:r>
      <w:r>
        <w:rPr>
          <w:rFonts w:eastAsia="方正仿宋_GBK"/>
          <w:color w:val="000000"/>
        </w:rPr>
        <w:t>专项</w:t>
      </w:r>
      <w:r>
        <w:rPr>
          <w:rFonts w:hint="eastAsia" w:eastAsia="方正仿宋_GBK"/>
          <w:color w:val="000000"/>
        </w:rPr>
        <w:t>类</w:t>
      </w:r>
      <w:r>
        <w:rPr>
          <w:rFonts w:eastAsia="方正仿宋_GBK"/>
          <w:color w:val="000000"/>
        </w:rPr>
        <w:t>项目绩效自评情况</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本单位在2020年度部门决算中反映“县级公立医院取消药品加成补助”、“区卫健系统选派得荣县‘传帮带’和综合帮扶凉山州人员待遇经费”、“基层党建工作经费”、“区属公立医疗机构退休人员2019年度一次性生活补助”、“县级公立医院人员经费”、“基本公共卫生服务项目经费”、“突发公共卫生事件应急处理及医疗保障专项”、“新型冠状病毒肺炎疫情防控应急专项资金”、“卫生系统门诊补助”、“医疗机构儿科门（急）诊专项补助”等10个专项类项目绩效自评情况。</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1）“县级公立医院取消药品加成补助”项目完成情况综述。项目全年预算数41.92万元，执行数为41.92万元，完成预算的100%。通过项目实施，一定程度上缓解了人民群众“看病贵”情况，同时也规范了医生的医疗行为。</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“县级公立医院取消药品加成补助”项目绩效自评表（附件1-1）</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2）“基本公共卫生服务项目经费”项目完成情况综述。项目全年预算数0.09万元，执行数为0.09万元，完成预算的100%。通过项目实施，提供了符合要求的健康教育资料，完善了儿童医疗服务体系，提高了全区儿童医疗服务质量。</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“基本公共卫生服务项目经费”项目绩效自评表（附件1-2）</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3）“突发公共卫生事件应急处理及医疗保障专项”项目完成情况综述。项目全年预算数0.2万元，执行数为0.2万元，完成预算的100%。通过项目实施，加强了卫生应急队伍的能力建设，及时处置了突发公共卫生应急事件，确保了青羊区社会稳定和人民群众的健康安全。</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“突发公共卫生事件应急处理及医疗保障专项”项目绩效自评表（附件1-3）</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4）“新型冠状病毒肺炎疫情防控应急专项资金”项目完成情况综述。项目全年预算数29.8万元，执行数为29.8万元，完成预算的100%。通过项目实施，我院建设了核酸实验室，提高了我院核酸检测能力和速度，提高了我院新型冠状病毒肺炎疫情的防控能力。</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“新型冠状病毒肺炎疫情防控应急专项资金”项目绩效自评表（附件1-4）</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5）“医疗机构儿科门（急）诊专项补助”项目完成情况综述。项目全年预算数14.13万元，执行数为14.13万元，完成预算的100%。通过项目实施，维修维护了我院环境，推进了儿童医疗卫生服务领域改革与创新，加强了儿科队伍建设与培养，完善了儿童医疗服务体系。</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“医疗机构儿科门（急）诊专项补助”项目绩效自评表（附件1-5）</w:t>
      </w:r>
    </w:p>
    <w:p>
      <w:pPr>
        <w:topLinePunct/>
        <w:spacing w:line="540" w:lineRule="exact"/>
        <w:outlineLvl w:val="2"/>
        <w:rPr>
          <w:rFonts w:eastAsia="方正仿宋_GBK"/>
          <w:color w:val="000000"/>
        </w:rPr>
      </w:pPr>
    </w:p>
    <w:p>
      <w:pPr>
        <w:topLinePunct/>
        <w:ind w:firstLine="632" w:firstLineChars="200"/>
        <w:jc w:val="left"/>
        <w:rPr>
          <w:rFonts w:eastAsia="方正仿宋_GBK"/>
          <w:color w:val="000000"/>
        </w:rPr>
      </w:pPr>
      <w:r>
        <w:rPr>
          <w:rFonts w:hint="eastAsia" w:eastAsia="方正仿宋_GBK"/>
          <w:color w:val="000000"/>
        </w:rPr>
        <w:t>2.部门整体绩效自评情况</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本单位按要求对2020年部门整体支出开展绩效自评，《2020年度市级部门（单位）整体支出绩效自评表》见附件（附件2）。</w:t>
      </w:r>
    </w:p>
    <w:p>
      <w:pPr>
        <w:keepNext w:val="0"/>
        <w:keepLines w:val="0"/>
        <w:pageBreakBefore w:val="0"/>
        <w:widowControl w:val="0"/>
        <w:numPr>
          <w:ilvl w:val="0"/>
          <w:numId w:val="0"/>
        </w:numPr>
        <w:kinsoku/>
        <w:wordWrap/>
        <w:overflowPunct/>
        <w:topLinePunct/>
        <w:autoSpaceDE/>
        <w:autoSpaceDN/>
        <w:bidi w:val="0"/>
        <w:adjustRightInd/>
        <w:snapToGrid/>
        <w:spacing w:line="540" w:lineRule="exact"/>
        <w:ind w:firstLine="632" w:firstLineChars="200"/>
        <w:textAlignment w:val="auto"/>
        <w:rPr>
          <w:rFonts w:hint="eastAsia" w:ascii="仿宋" w:hAnsi="仿宋" w:eastAsia="仿宋"/>
          <w:color w:val="000000"/>
          <w:lang w:val="en-US" w:eastAsia="zh-CN"/>
        </w:rPr>
      </w:pPr>
    </w:p>
    <w:p>
      <w:pPr>
        <w:topLinePunct/>
        <w:ind w:firstLine="632" w:firstLineChars="200"/>
        <w:outlineLvl w:val="1"/>
        <w:rPr>
          <w:rStyle w:val="28"/>
          <w:rFonts w:ascii="方正黑体_GBK" w:hAnsi="Times New Roman" w:eastAsia="方正黑体_GBK" w:cs="Times New Roman"/>
        </w:rPr>
      </w:pPr>
      <w:bookmarkStart w:id="51" w:name="_Toc15377221"/>
      <w:bookmarkStart w:id="52" w:name="_Toc80711340"/>
      <w:r>
        <w:rPr>
          <w:rFonts w:hint="eastAsia" w:ascii="方正黑体_GBK" w:eastAsia="方正黑体_GBK"/>
          <w:color w:val="000000"/>
        </w:rPr>
        <w:t>十一</w:t>
      </w:r>
      <w:r>
        <w:rPr>
          <w:rStyle w:val="28"/>
          <w:rFonts w:hint="eastAsia" w:ascii="方正黑体_GBK" w:hAnsi="Times New Roman" w:eastAsia="方正黑体_GBK" w:cs="Times New Roman"/>
        </w:rPr>
        <w:t>、</w:t>
      </w:r>
      <w:r>
        <w:rPr>
          <w:rStyle w:val="28"/>
          <w:rFonts w:hint="eastAsia" w:ascii="方正黑体_GBK" w:hAnsi="Times New Roman" w:eastAsia="方正黑体_GBK" w:cs="Times New Roman"/>
          <w:b w:val="0"/>
          <w:bCs w:val="0"/>
        </w:rPr>
        <w:t>其他重要事项的情况说明</w:t>
      </w:r>
      <w:bookmarkEnd w:id="51"/>
      <w:bookmarkEnd w:id="52"/>
    </w:p>
    <w:p>
      <w:pPr>
        <w:topLinePunct/>
        <w:ind w:firstLine="632" w:firstLineChars="200"/>
        <w:outlineLvl w:val="2"/>
        <w:rPr>
          <w:rFonts w:ascii="方正楷体_GBK" w:eastAsia="方正楷体_GBK"/>
          <w:bCs/>
          <w:color w:val="000000"/>
        </w:rPr>
      </w:pPr>
      <w:bookmarkStart w:id="53" w:name="_Toc15377222"/>
      <w:r>
        <w:rPr>
          <w:rFonts w:ascii="方正楷体_GBK" w:eastAsia="方正楷体_GBK"/>
          <w:bCs/>
          <w:color w:val="000000"/>
        </w:rPr>
        <w:t>（一）机关运行经费支出情况</w:t>
      </w:r>
      <w:bookmarkEnd w:id="53"/>
    </w:p>
    <w:p>
      <w:pPr>
        <w:topLinePunct/>
        <w:spacing w:line="540" w:lineRule="exact"/>
        <w:ind w:firstLine="632" w:firstLineChars="200"/>
        <w:rPr>
          <w:rFonts w:hint="eastAsia" w:ascii="仿宋" w:hAnsi="仿宋" w:eastAsia="仿宋"/>
          <w:color w:val="000000"/>
          <w:lang w:eastAsia="zh-CN"/>
        </w:rPr>
      </w:pPr>
      <w:r>
        <w:rPr>
          <w:rFonts w:hint="eastAsia" w:ascii="仿宋" w:hAnsi="仿宋" w:eastAsia="仿宋"/>
          <w:color w:val="000000"/>
        </w:rPr>
        <w:t>2020年，成都儿童专科医院运行经费支出0万元，与2019年决算数持平</w:t>
      </w:r>
      <w:r>
        <w:rPr>
          <w:rFonts w:hint="eastAsia" w:ascii="仿宋" w:hAnsi="仿宋" w:eastAsia="仿宋"/>
          <w:color w:val="000000"/>
          <w:lang w:eastAsia="zh-CN"/>
        </w:rPr>
        <w:t>。</w:t>
      </w:r>
    </w:p>
    <w:p>
      <w:pPr>
        <w:topLinePunct/>
        <w:spacing w:line="540" w:lineRule="exact"/>
        <w:ind w:firstLine="632" w:firstLineChars="200"/>
        <w:rPr>
          <w:rFonts w:hint="eastAsia" w:ascii="仿宋" w:hAnsi="仿宋" w:eastAsia="仿宋"/>
          <w:color w:val="000000"/>
          <w:lang w:eastAsia="zh-CN"/>
        </w:rPr>
      </w:pPr>
    </w:p>
    <w:p>
      <w:pPr>
        <w:topLinePunct/>
        <w:ind w:firstLine="632" w:firstLineChars="200"/>
        <w:outlineLvl w:val="2"/>
        <w:rPr>
          <w:rFonts w:hint="eastAsia" w:ascii="方正楷体_GBK" w:eastAsia="方正楷体_GBK"/>
          <w:bCs/>
          <w:color w:val="000000"/>
        </w:rPr>
      </w:pPr>
      <w:bookmarkStart w:id="54" w:name="_Toc15377223"/>
      <w:r>
        <w:rPr>
          <w:rFonts w:ascii="方正楷体_GBK" w:eastAsia="方正楷体_GBK"/>
          <w:bCs/>
          <w:color w:val="000000"/>
        </w:rPr>
        <w:t>（二）政府采购支出情况</w:t>
      </w:r>
      <w:bookmarkEnd w:id="54"/>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2020年，成都儿童专科医院政府采购金额支出总额880.69万元，与上年相比增加849.08万元，主要原因为当年因受疫情影响，采购较多医疗相关设备。其中：政府采购货物支出601.72万元、政府采购工程支出0万元、政府采购服务支出278.97万元。主要用于安全、环保服务等。授予中小企业合同金额876.80万元。</w:t>
      </w:r>
    </w:p>
    <w:p>
      <w:pPr>
        <w:topLinePunct/>
        <w:rPr>
          <w:rFonts w:eastAsia="方正仿宋_GBK"/>
          <w:color w:val="000000"/>
        </w:rPr>
      </w:pPr>
    </w:p>
    <w:p>
      <w:pPr>
        <w:topLinePunct/>
        <w:ind w:firstLine="632" w:firstLineChars="200"/>
        <w:outlineLvl w:val="2"/>
        <w:rPr>
          <w:rFonts w:hint="eastAsia" w:ascii="方正楷体_GBK" w:eastAsia="方正楷体_GBK"/>
          <w:bCs/>
          <w:color w:val="000000"/>
        </w:rPr>
      </w:pPr>
      <w:bookmarkStart w:id="55" w:name="_Toc15377224"/>
      <w:r>
        <w:rPr>
          <w:rFonts w:ascii="方正楷体_GBK" w:eastAsia="方正楷体_GBK"/>
          <w:bCs/>
          <w:color w:val="000000"/>
        </w:rPr>
        <w:t>（三）国有资产占有使用情况</w:t>
      </w:r>
      <w:bookmarkEnd w:id="55"/>
    </w:p>
    <w:p>
      <w:pPr>
        <w:topLinePunct/>
        <w:spacing w:line="540" w:lineRule="exact"/>
        <w:ind w:firstLine="632" w:firstLineChars="200"/>
        <w:rPr>
          <w:rFonts w:hint="eastAsia" w:ascii="仿宋" w:hAnsi="仿宋" w:eastAsia="仿宋"/>
          <w:color w:val="000000"/>
        </w:rPr>
      </w:pPr>
      <w:r>
        <w:rPr>
          <w:rFonts w:hint="eastAsia" w:ascii="仿宋" w:hAnsi="仿宋" w:eastAsia="仿宋"/>
          <w:color w:val="000000"/>
        </w:rPr>
        <w:t>截至2020年12月31日，成都儿童专科医院共有车辆5辆，其中：副部（省）级及以上领导用车0辆、主要领导干部用车0辆、机要通信用车0辆、应急保障用车3辆、执法执勤用车0辆、特种专业技术用车2辆、离退休干部用车0辆、其他用车0辆。单价50万元以上通用设备0台（套），单价100万元以上专用设备4台（套）。</w:t>
      </w:r>
    </w:p>
    <w:p>
      <w:pPr>
        <w:topLinePunct/>
        <w:adjustRightInd w:val="0"/>
        <w:ind w:firstLine="632" w:firstLineChars="200"/>
        <w:jc w:val="left"/>
        <w:outlineLvl w:val="2"/>
        <w:rPr>
          <w:rFonts w:eastAsia="方正仿宋_GBK"/>
          <w:b/>
          <w:bCs/>
          <w:color w:val="000000"/>
        </w:rPr>
      </w:pPr>
    </w:p>
    <w:p>
      <w:pPr>
        <w:topLinePunct/>
        <w:ind w:firstLine="632" w:firstLineChars="200"/>
        <w:outlineLvl w:val="2"/>
        <w:rPr>
          <w:rFonts w:ascii="方正楷体_GBK" w:eastAsia="方正楷体_GBK"/>
          <w:bCs/>
          <w:color w:val="000000"/>
        </w:rPr>
      </w:pPr>
    </w:p>
    <w:p>
      <w:pPr>
        <w:pStyle w:val="2"/>
        <w:keepNext w:val="0"/>
        <w:keepLines w:val="0"/>
        <w:topLinePunct/>
        <w:spacing w:before="0" w:after="0" w:line="240" w:lineRule="auto"/>
        <w:jc w:val="center"/>
        <w:rPr>
          <w:rFonts w:eastAsia="方正黑体_GBK"/>
          <w:b w:val="0"/>
          <w:sz w:val="32"/>
          <w:szCs w:val="32"/>
        </w:rPr>
      </w:pPr>
      <w:bookmarkStart w:id="56" w:name="_Toc15377225"/>
      <w:r>
        <w:rPr>
          <w:rFonts w:eastAsia="方正黑体_GBK"/>
          <w:b w:val="0"/>
          <w:bCs w:val="0"/>
          <w:sz w:val="32"/>
          <w:szCs w:val="32"/>
        </w:rPr>
        <w:br w:type="page"/>
      </w:r>
      <w:bookmarkStart w:id="57" w:name="_Toc80711341"/>
      <w:r>
        <w:rPr>
          <w:rFonts w:hint="eastAsia" w:eastAsia="方正黑体_GBK"/>
          <w:b w:val="0"/>
          <w:bCs w:val="0"/>
          <w:sz w:val="32"/>
          <w:szCs w:val="32"/>
        </w:rPr>
        <w:t>第三部分</w:t>
      </w:r>
      <w:r>
        <w:rPr>
          <w:rFonts w:eastAsia="方正黑体_GBK"/>
          <w:b w:val="0"/>
          <w:bCs w:val="0"/>
          <w:sz w:val="32"/>
          <w:szCs w:val="32"/>
        </w:rPr>
        <w:t>名</w:t>
      </w:r>
      <w:r>
        <w:rPr>
          <w:rFonts w:eastAsia="方正黑体_GBK"/>
          <w:b w:val="0"/>
          <w:sz w:val="32"/>
          <w:szCs w:val="32"/>
        </w:rPr>
        <w:t>词解释</w:t>
      </w:r>
      <w:bookmarkEnd w:id="56"/>
      <w:bookmarkEnd w:id="57"/>
    </w:p>
    <w:p>
      <w:pPr>
        <w:topLinePunct/>
        <w:jc w:val="left"/>
        <w:rPr>
          <w:rFonts w:eastAsia="方正仿宋_GBK"/>
          <w:b/>
          <w:bCs/>
          <w:color w:val="000000"/>
        </w:rPr>
      </w:pP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1.财政拨款收入：指单位从同级财政部门取得的财政预算资金。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2.事业收入：指事业单位开展专业业务活动及辅助活动取得的收入。如…（二级预算单位事业收入情况）等。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3.经营收入：指事业单位在专业业务活动及其辅助活动之外开展非独立核算经营活动取得的收入。如…（二级预算单位经营收入情况）等。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4.其他收入：指单位取得的除上述收入以外的各项收入。主要是…（收入类型）等。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5.使用非财政拨款结余：指事业单位使用以前年度积累的非财政拨款结余弥补当年收支差额的金额。</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6.年初结转和结余：指以前年度尚未完成、结转到本年按有关规定继续使用的资金。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7.结余分配：指事业单位按照会计制度规定缴纳的所得税、提取的专用结余以及转入非财政拨款结余的金额等。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8、年末结转和结余：指单位按有关规定结转到下年或以后年度继续使用的资金。</w:t>
      </w:r>
    </w:p>
    <w:p>
      <w:pPr>
        <w:topLinePunct/>
        <w:spacing w:line="540" w:lineRule="exact"/>
        <w:ind w:firstLine="632" w:firstLineChars="200"/>
        <w:rPr>
          <w:rFonts w:eastAsia="方正仿宋_GBK"/>
          <w:color w:val="000000"/>
        </w:rPr>
      </w:pPr>
      <w:r>
        <w:rPr>
          <w:rFonts w:eastAsia="方正仿宋_GBK"/>
          <w:color w:val="000000"/>
        </w:rPr>
        <w:t>9.一般公共服务（类）…（款）…（项）：指……。</w:t>
      </w:r>
    </w:p>
    <w:p>
      <w:pPr>
        <w:topLinePunct/>
        <w:spacing w:line="540" w:lineRule="exact"/>
        <w:ind w:firstLine="632" w:firstLineChars="200"/>
        <w:rPr>
          <w:rFonts w:eastAsia="方正仿宋_GBK"/>
          <w:color w:val="000000"/>
        </w:rPr>
      </w:pPr>
      <w:r>
        <w:rPr>
          <w:rFonts w:eastAsia="方正仿宋_GBK"/>
          <w:color w:val="000000"/>
        </w:rPr>
        <w:t>10.外交（类）…（款）…（项）：指……。</w:t>
      </w:r>
    </w:p>
    <w:p>
      <w:pPr>
        <w:topLinePunct/>
        <w:spacing w:line="540" w:lineRule="exact"/>
        <w:ind w:firstLine="632" w:firstLineChars="200"/>
        <w:rPr>
          <w:rFonts w:eastAsia="方正仿宋_GBK"/>
          <w:color w:val="000000"/>
        </w:rPr>
      </w:pPr>
      <w:r>
        <w:rPr>
          <w:rFonts w:eastAsia="方正仿宋_GBK"/>
          <w:color w:val="000000"/>
        </w:rPr>
        <w:t>11.公共安全（类）…（款）…（项）：指……。</w:t>
      </w:r>
    </w:p>
    <w:p>
      <w:pPr>
        <w:topLinePunct/>
        <w:spacing w:line="540" w:lineRule="exact"/>
        <w:ind w:firstLine="632" w:firstLineChars="200"/>
        <w:rPr>
          <w:rFonts w:eastAsia="方正仿宋_GBK"/>
          <w:color w:val="000000"/>
        </w:rPr>
      </w:pPr>
      <w:r>
        <w:rPr>
          <w:rFonts w:eastAsia="方正仿宋_GBK"/>
          <w:color w:val="000000"/>
        </w:rPr>
        <w:t>12.教育（类）…（款）…（项）：指……。</w:t>
      </w:r>
    </w:p>
    <w:p>
      <w:pPr>
        <w:topLinePunct/>
        <w:spacing w:line="540" w:lineRule="exact"/>
        <w:ind w:firstLine="632" w:firstLineChars="200"/>
        <w:rPr>
          <w:rFonts w:eastAsia="方正仿宋_GBK"/>
          <w:color w:val="000000"/>
        </w:rPr>
      </w:pPr>
      <w:r>
        <w:rPr>
          <w:rFonts w:eastAsia="方正仿宋_GBK"/>
          <w:color w:val="000000"/>
        </w:rPr>
        <w:t>13.科学技术（类）…（款）…（项）：指……。</w:t>
      </w:r>
    </w:p>
    <w:p>
      <w:pPr>
        <w:topLinePunct/>
        <w:spacing w:line="540" w:lineRule="exact"/>
        <w:ind w:firstLine="632" w:firstLineChars="200"/>
        <w:rPr>
          <w:rFonts w:eastAsia="方正仿宋_GBK"/>
          <w:color w:val="000000"/>
        </w:rPr>
      </w:pPr>
      <w:r>
        <w:rPr>
          <w:rFonts w:eastAsia="方正仿宋_GBK"/>
          <w:color w:val="000000"/>
        </w:rPr>
        <w:t>14.文化体育与传媒（类）…（款）…（项）：指……。</w:t>
      </w:r>
    </w:p>
    <w:p>
      <w:pPr>
        <w:topLinePunct/>
        <w:spacing w:line="540" w:lineRule="exact"/>
        <w:ind w:firstLine="632" w:firstLineChars="200"/>
        <w:rPr>
          <w:rFonts w:eastAsia="方正仿宋_GBK"/>
          <w:color w:val="000000"/>
        </w:rPr>
      </w:pPr>
      <w:r>
        <w:rPr>
          <w:rFonts w:eastAsia="方正仿宋_GBK"/>
          <w:color w:val="000000"/>
        </w:rPr>
        <w:t>15.社会保障和就业（类）…（款）…（项）：指……。</w:t>
      </w:r>
    </w:p>
    <w:p>
      <w:pPr>
        <w:topLinePunct/>
        <w:spacing w:line="540" w:lineRule="exact"/>
        <w:ind w:firstLine="632" w:firstLineChars="200"/>
        <w:rPr>
          <w:rFonts w:eastAsia="方正仿宋_GBK"/>
          <w:color w:val="000000"/>
        </w:rPr>
      </w:pPr>
      <w:r>
        <w:rPr>
          <w:rFonts w:eastAsia="方正仿宋_GBK"/>
          <w:color w:val="000000"/>
        </w:rPr>
        <w:t>16.医疗卫生与计划生育（类）…（款）…（项）：指……。</w:t>
      </w:r>
    </w:p>
    <w:p>
      <w:pPr>
        <w:topLinePunct/>
        <w:spacing w:line="540" w:lineRule="exact"/>
        <w:ind w:firstLine="632" w:firstLineChars="200"/>
        <w:rPr>
          <w:rFonts w:eastAsia="方正仿宋_GBK"/>
          <w:color w:val="000000"/>
        </w:rPr>
      </w:pPr>
      <w:r>
        <w:rPr>
          <w:rFonts w:eastAsia="方正仿宋_GBK"/>
          <w:color w:val="000000"/>
        </w:rPr>
        <w:t>17.节能环保（类）…（款）…（项）：指……。</w:t>
      </w:r>
    </w:p>
    <w:p>
      <w:pPr>
        <w:topLinePunct/>
        <w:spacing w:line="540" w:lineRule="exact"/>
        <w:ind w:firstLine="632" w:firstLineChars="200"/>
        <w:rPr>
          <w:rFonts w:eastAsia="方正仿宋_GBK"/>
          <w:color w:val="000000"/>
        </w:rPr>
      </w:pPr>
      <w:r>
        <w:rPr>
          <w:rFonts w:eastAsia="方正仿宋_GBK"/>
          <w:color w:val="000000"/>
        </w:rPr>
        <w:t>18.城乡社区（类）…（款）…（项）：指……。</w:t>
      </w:r>
    </w:p>
    <w:p>
      <w:pPr>
        <w:topLinePunct/>
        <w:spacing w:line="540" w:lineRule="exact"/>
        <w:ind w:firstLine="632" w:firstLineChars="200"/>
        <w:rPr>
          <w:rFonts w:eastAsia="方正仿宋_GBK"/>
          <w:color w:val="000000"/>
        </w:rPr>
      </w:pPr>
      <w:r>
        <w:rPr>
          <w:rFonts w:eastAsia="方正仿宋_GBK"/>
          <w:color w:val="000000"/>
        </w:rPr>
        <w:t>19.农林水（类）…（款）…（项）：指……。</w:t>
      </w:r>
    </w:p>
    <w:p>
      <w:pPr>
        <w:topLinePunct/>
        <w:spacing w:line="540" w:lineRule="exact"/>
        <w:ind w:firstLine="632" w:firstLineChars="200"/>
        <w:rPr>
          <w:rFonts w:eastAsia="方正仿宋_GBK"/>
          <w:color w:val="000000"/>
        </w:rPr>
      </w:pPr>
      <w:r>
        <w:rPr>
          <w:rFonts w:eastAsia="方正仿宋_GBK"/>
          <w:color w:val="000000"/>
        </w:rPr>
        <w:t>20.交通运输（类）…（款）…（项）：指……。</w:t>
      </w:r>
    </w:p>
    <w:p>
      <w:pPr>
        <w:topLinePunct/>
        <w:spacing w:line="540" w:lineRule="exact"/>
        <w:ind w:firstLine="632" w:firstLineChars="200"/>
        <w:rPr>
          <w:rFonts w:eastAsia="方正仿宋_GBK"/>
          <w:color w:val="000000"/>
        </w:rPr>
      </w:pPr>
      <w:r>
        <w:rPr>
          <w:rFonts w:eastAsia="方正仿宋_GBK"/>
          <w:color w:val="000000"/>
        </w:rPr>
        <w:t>21.资源勘探信息等（类）…（款）…（项）：指……。</w:t>
      </w:r>
    </w:p>
    <w:p>
      <w:pPr>
        <w:topLinePunct/>
        <w:spacing w:line="540" w:lineRule="exact"/>
        <w:ind w:firstLine="632" w:firstLineChars="200"/>
        <w:rPr>
          <w:rFonts w:eastAsia="方正仿宋_GBK"/>
          <w:color w:val="000000"/>
        </w:rPr>
      </w:pPr>
      <w:r>
        <w:rPr>
          <w:rFonts w:eastAsia="方正仿宋_GBK"/>
          <w:color w:val="000000"/>
        </w:rPr>
        <w:t>22.商业服务业（类）…（款）…（项）：指……。</w:t>
      </w:r>
    </w:p>
    <w:p>
      <w:pPr>
        <w:topLinePunct/>
        <w:spacing w:line="540" w:lineRule="exact"/>
        <w:ind w:firstLine="632" w:firstLineChars="200"/>
        <w:rPr>
          <w:rFonts w:eastAsia="方正仿宋_GBK"/>
          <w:color w:val="000000"/>
        </w:rPr>
      </w:pPr>
      <w:r>
        <w:rPr>
          <w:rFonts w:eastAsia="方正仿宋_GBK"/>
          <w:color w:val="000000"/>
        </w:rPr>
        <w:t>23.金融（类）…（款）…（项）：指……。</w:t>
      </w:r>
    </w:p>
    <w:p>
      <w:pPr>
        <w:topLinePunct/>
        <w:spacing w:line="540" w:lineRule="exact"/>
        <w:ind w:firstLine="632" w:firstLineChars="200"/>
        <w:rPr>
          <w:rFonts w:eastAsia="方正仿宋_GBK"/>
          <w:color w:val="000000"/>
        </w:rPr>
      </w:pPr>
      <w:r>
        <w:rPr>
          <w:rFonts w:eastAsia="方正仿宋_GBK"/>
          <w:color w:val="000000"/>
        </w:rPr>
        <w:t>24.国土海洋气象等（类）…（款）…（项）：指……。</w:t>
      </w:r>
    </w:p>
    <w:p>
      <w:pPr>
        <w:topLinePunct/>
        <w:spacing w:line="540" w:lineRule="exact"/>
        <w:ind w:firstLine="632" w:firstLineChars="200"/>
        <w:rPr>
          <w:rFonts w:eastAsia="方正仿宋_GBK"/>
          <w:color w:val="000000"/>
        </w:rPr>
      </w:pPr>
      <w:r>
        <w:rPr>
          <w:rFonts w:eastAsia="方正仿宋_GBK"/>
          <w:color w:val="000000"/>
        </w:rPr>
        <w:t>25.住房保障（类）…（款）…（项）：指……。</w:t>
      </w:r>
    </w:p>
    <w:p>
      <w:pPr>
        <w:topLinePunct/>
        <w:spacing w:line="540" w:lineRule="exact"/>
        <w:ind w:firstLine="632" w:firstLineChars="200"/>
        <w:rPr>
          <w:rFonts w:eastAsia="方正仿宋_GBK"/>
          <w:color w:val="000000"/>
        </w:rPr>
      </w:pPr>
      <w:r>
        <w:rPr>
          <w:rFonts w:eastAsia="方正仿宋_GBK"/>
          <w:color w:val="000000"/>
        </w:rPr>
        <w:t>26.粮油物资储备（类）…（款）…（项）：指……。</w:t>
      </w:r>
    </w:p>
    <w:p>
      <w:pPr>
        <w:topLinePunct/>
        <w:spacing w:line="540" w:lineRule="exact"/>
        <w:ind w:firstLine="632" w:firstLineChars="200"/>
        <w:rPr>
          <w:rFonts w:eastAsia="方正仿宋_GBK"/>
          <w:color w:val="000000"/>
        </w:rPr>
      </w:pPr>
      <w:r>
        <w:rPr>
          <w:rFonts w:eastAsia="方正仿宋_GBK"/>
          <w:color w:val="000000"/>
        </w:rPr>
        <w:t>27.基本支出：指为保障机构正常运转、完成日常工作任务而发生的人员支出和公用支出。</w:t>
      </w:r>
    </w:p>
    <w:p>
      <w:pPr>
        <w:topLinePunct/>
        <w:spacing w:line="540" w:lineRule="exact"/>
        <w:ind w:firstLine="632" w:firstLineChars="200"/>
        <w:rPr>
          <w:rFonts w:eastAsia="方正仿宋_GBK"/>
          <w:color w:val="000000"/>
        </w:rPr>
      </w:pPr>
      <w:r>
        <w:rPr>
          <w:rFonts w:eastAsia="方正仿宋_GBK"/>
          <w:color w:val="000000"/>
        </w:rPr>
        <w:t>28.项目支出：指在基本支出之外为完成特定行政任务和事业发展目标所发生的支出。</w:t>
      </w:r>
    </w:p>
    <w:p>
      <w:pPr>
        <w:topLinePunct/>
        <w:spacing w:line="540" w:lineRule="exact"/>
        <w:ind w:firstLine="632" w:firstLineChars="200"/>
        <w:rPr>
          <w:rFonts w:eastAsia="方正仿宋_GBK"/>
          <w:color w:val="000000"/>
        </w:rPr>
      </w:pPr>
      <w:r>
        <w:rPr>
          <w:rFonts w:eastAsia="方正仿宋_GBK"/>
          <w:color w:val="000000"/>
        </w:rPr>
        <w:t>29.经营支出：指事业单位在专业业务活动及其辅助活动之外开展非独立核算经营活动发生的支出。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30.“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31.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32.……。</w:t>
      </w:r>
    </w:p>
    <w:p>
      <w:pPr>
        <w:topLinePunct/>
        <w:jc w:val="center"/>
        <w:outlineLvl w:val="0"/>
        <w:rPr>
          <w:rStyle w:val="26"/>
          <w:rFonts w:ascii="方正黑体_GBK" w:eastAsia="方正黑体_GBK"/>
          <w:b w:val="0"/>
          <w:bCs w:val="0"/>
          <w:sz w:val="32"/>
          <w:szCs w:val="32"/>
        </w:rPr>
      </w:pPr>
      <w:r>
        <w:rPr>
          <w:rFonts w:eastAsia="方正仿宋_GBK"/>
          <w:b/>
          <w:bCs/>
          <w:color w:val="000000"/>
        </w:rPr>
        <w:br w:type="page"/>
      </w:r>
      <w:bookmarkStart w:id="58" w:name="_Toc80711342"/>
      <w:r>
        <w:rPr>
          <w:rFonts w:hint="eastAsia" w:ascii="方正黑体_GBK" w:eastAsia="方正黑体_GBK"/>
          <w:color w:val="000000"/>
        </w:rPr>
        <w:t>第</w:t>
      </w:r>
      <w:r>
        <w:rPr>
          <w:rStyle w:val="26"/>
          <w:rFonts w:hint="eastAsia" w:ascii="方正黑体_GBK" w:eastAsia="方正黑体_GBK"/>
          <w:b w:val="0"/>
          <w:bCs w:val="0"/>
          <w:sz w:val="32"/>
          <w:szCs w:val="32"/>
        </w:rPr>
        <w:t>四部分附件</w:t>
      </w:r>
      <w:bookmarkEnd w:id="58"/>
    </w:p>
    <w:p>
      <w:r>
        <w:t>附件1</w:t>
      </w:r>
    </w:p>
    <w:p>
      <w:pPr>
        <w:ind w:firstLine="632" w:firstLineChars="200"/>
        <w:jc w:val="center"/>
      </w:pPr>
      <w:r>
        <w:t>20</w:t>
      </w:r>
      <w:r>
        <w:rPr>
          <w:rFonts w:hint="eastAsia"/>
        </w:rPr>
        <w:t>20</w:t>
      </w:r>
      <w:r>
        <w:t>年XX专项</w:t>
      </w:r>
      <w:r>
        <w:rPr>
          <w:rFonts w:hint="eastAsia"/>
        </w:rPr>
        <w:t>类</w:t>
      </w:r>
      <w:r>
        <w:t>项目自评表</w:t>
      </w:r>
    </w:p>
    <w:p>
      <w:r>
        <w:drawing>
          <wp:inline distT="0" distB="0" distL="0" distR="0">
            <wp:extent cx="5486400" cy="695388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5486400" cy="6953885"/>
                    </a:xfrm>
                    <a:prstGeom prst="rect">
                      <a:avLst/>
                    </a:prstGeom>
                    <a:noFill/>
                    <a:ln>
                      <a:noFill/>
                    </a:ln>
                  </pic:spPr>
                </pic:pic>
              </a:graphicData>
            </a:graphic>
          </wp:inline>
        </w:drawing>
      </w:r>
    </w:p>
    <w:p>
      <w:r>
        <w:t>附件</w:t>
      </w:r>
      <w:r>
        <w:rPr>
          <w:rFonts w:hint="eastAsia"/>
        </w:rPr>
        <w:t xml:space="preserve">2    </w:t>
      </w:r>
    </w:p>
    <w:p>
      <w:pPr>
        <w:rPr>
          <w:rFonts w:eastAsia="方正仿宋_GBK"/>
          <w:color w:val="000000"/>
        </w:rPr>
      </w:pPr>
      <w:r>
        <w:rPr>
          <w:rFonts w:hint="eastAsia" w:eastAsia="方正仿宋_GBK"/>
          <w:color w:val="000000"/>
        </w:rPr>
        <w:drawing>
          <wp:inline distT="0" distB="0" distL="0" distR="0">
            <wp:extent cx="5699125" cy="7506335"/>
            <wp:effectExtent l="0" t="0" r="0" b="0"/>
            <wp:docPr id="4" name="图片 4" descr="2020年度绩效自评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020年度绩效自评表"/>
                    <pic:cNvPicPr>
                      <a:picLocks noChangeAspect="1" noChangeArrowheads="1"/>
                    </pic:cNvPicPr>
                  </pic:nvPicPr>
                  <pic:blipFill>
                    <a:blip r:embed="rId13" cstate="print">
                      <a:extLst>
                        <a:ext uri="{28A0092B-C50C-407E-A947-70E740481C1C}">
                          <a14:useLocalDpi xmlns:a14="http://schemas.microsoft.com/office/drawing/2010/main" val="0"/>
                        </a:ext>
                      </a:extLst>
                    </a:blip>
                    <a:srcRect t="7608" r="3427" b="2222"/>
                    <a:stretch>
                      <a:fillRect/>
                    </a:stretch>
                  </pic:blipFill>
                  <pic:spPr>
                    <a:xfrm>
                      <a:off x="0" y="0"/>
                      <a:ext cx="5699125" cy="7506335"/>
                    </a:xfrm>
                    <a:prstGeom prst="rect">
                      <a:avLst/>
                    </a:prstGeom>
                    <a:noFill/>
                    <a:ln>
                      <a:noFill/>
                    </a:ln>
                  </pic:spPr>
                </pic:pic>
              </a:graphicData>
            </a:graphic>
          </wp:inline>
        </w:drawing>
      </w:r>
    </w:p>
    <w:p>
      <w:pPr>
        <w:adjustRightInd w:val="0"/>
        <w:snapToGrid w:val="0"/>
        <w:rPr>
          <w:rFonts w:eastAsia="方正仿宋_GBK"/>
          <w:color w:val="000000"/>
          <w:kern w:val="0"/>
        </w:rPr>
      </w:pPr>
      <w:r>
        <w:rPr>
          <w:rFonts w:hint="eastAsia" w:eastAsia="方正仿宋_GBK"/>
          <w:color w:val="000000"/>
          <w:kern w:val="0"/>
        </w:rPr>
        <w:t>附件3</w:t>
      </w:r>
    </w:p>
    <w:p>
      <w:pPr>
        <w:snapToGrid w:val="0"/>
        <w:jc w:val="center"/>
        <w:rPr>
          <w:rFonts w:eastAsia="方正小标宋_GBK"/>
          <w:kern w:val="0"/>
          <w:sz w:val="44"/>
          <w:szCs w:val="44"/>
        </w:rPr>
      </w:pPr>
      <w:r>
        <w:rPr>
          <w:rFonts w:eastAsia="方正小标宋_GBK"/>
          <w:kern w:val="0"/>
          <w:sz w:val="44"/>
          <w:szCs w:val="44"/>
        </w:rPr>
        <w:t>成都市XX 2020年部门整体支出</w:t>
      </w:r>
    </w:p>
    <w:p>
      <w:pPr>
        <w:snapToGrid w:val="0"/>
        <w:jc w:val="center"/>
        <w:rPr>
          <w:rFonts w:eastAsia="方正小标宋_GBK"/>
          <w:kern w:val="0"/>
          <w:sz w:val="44"/>
          <w:szCs w:val="44"/>
        </w:rPr>
      </w:pPr>
      <w:r>
        <w:rPr>
          <w:rFonts w:eastAsia="方正小标宋_GBK"/>
          <w:kern w:val="0"/>
          <w:sz w:val="44"/>
          <w:szCs w:val="44"/>
        </w:rPr>
        <w:t>绩效评价报告</w:t>
      </w:r>
    </w:p>
    <w:p>
      <w:pPr>
        <w:spacing w:line="560" w:lineRule="exact"/>
        <w:jc w:val="center"/>
        <w:rPr>
          <w:rFonts w:eastAsia="方正楷体_GBK"/>
          <w:kern w:val="0"/>
        </w:rPr>
      </w:pPr>
      <w:r>
        <w:rPr>
          <w:rFonts w:eastAsia="方正楷体_GBK"/>
          <w:kern w:val="0"/>
        </w:rPr>
        <w:t>（报告范围包括市级部门和下属二级预算单位）</w:t>
      </w:r>
    </w:p>
    <w:p>
      <w:pPr>
        <w:autoSpaceDE w:val="0"/>
        <w:autoSpaceDN w:val="0"/>
        <w:spacing w:line="560" w:lineRule="exact"/>
        <w:ind w:firstLine="632" w:firstLineChars="200"/>
        <w:jc w:val="left"/>
        <w:rPr>
          <w:rFonts w:eastAsia="方正仿宋_GBK"/>
          <w:kern w:val="0"/>
        </w:rPr>
      </w:pPr>
    </w:p>
    <w:p>
      <w:pPr>
        <w:autoSpaceDE w:val="0"/>
        <w:autoSpaceDN w:val="0"/>
        <w:spacing w:line="560" w:lineRule="exact"/>
        <w:ind w:firstLine="632" w:firstLineChars="200"/>
        <w:jc w:val="left"/>
        <w:rPr>
          <w:rFonts w:eastAsia="方正仿宋_GBK"/>
          <w:kern w:val="0"/>
        </w:rPr>
      </w:pPr>
      <w:r>
        <w:rPr>
          <w:rFonts w:eastAsia="方正仿宋_GBK"/>
          <w:kern w:val="0"/>
        </w:rPr>
        <w:t>按照成都市财政局《关于开展2021年市级财政重点绩效评价工作的通知》（成财绩发〔2021〕X号），我们接受成都市财政局委托，于20XX年X月XX日至20XX年X 月XX日对成都市XX开展部门整体支出绩效评价，具体情况如下。</w:t>
      </w:r>
    </w:p>
    <w:p>
      <w:pPr>
        <w:autoSpaceDE w:val="0"/>
        <w:autoSpaceDN w:val="0"/>
        <w:spacing w:line="560" w:lineRule="exact"/>
        <w:ind w:firstLine="632" w:firstLineChars="200"/>
        <w:jc w:val="left"/>
        <w:rPr>
          <w:rFonts w:eastAsia="方正黑体_GBK"/>
          <w:kern w:val="0"/>
        </w:rPr>
      </w:pPr>
      <w:r>
        <w:rPr>
          <w:rFonts w:eastAsia="方正黑体_GBK"/>
          <w:kern w:val="0"/>
        </w:rPr>
        <w:t>一、摘要</w:t>
      </w:r>
    </w:p>
    <w:p>
      <w:pPr>
        <w:topLinePunct/>
        <w:spacing w:line="560" w:lineRule="exact"/>
        <w:ind w:firstLine="632" w:firstLineChars="200"/>
        <w:rPr>
          <w:rFonts w:eastAsia="方正黑体_GBK"/>
          <w:kern w:val="0"/>
        </w:rPr>
      </w:pPr>
      <w:r>
        <w:rPr>
          <w:rFonts w:eastAsia="方正黑体_GBK"/>
          <w:kern w:val="0"/>
        </w:rPr>
        <w:t>二、部门（单位）概况</w:t>
      </w:r>
    </w:p>
    <w:p>
      <w:pPr>
        <w:topLinePunct/>
        <w:spacing w:line="560" w:lineRule="exact"/>
        <w:ind w:firstLine="632" w:firstLineChars="200"/>
        <w:rPr>
          <w:rFonts w:eastAsia="方正仿宋_GBK"/>
          <w:kern w:val="0"/>
        </w:rPr>
      </w:pPr>
      <w:r>
        <w:rPr>
          <w:rFonts w:eastAsia="方正仿宋_GBK"/>
          <w:kern w:val="0"/>
        </w:rPr>
        <w:t>（一）部门（单位）职能职责</w:t>
      </w:r>
    </w:p>
    <w:p>
      <w:pPr>
        <w:topLinePunct/>
        <w:spacing w:line="560" w:lineRule="exact"/>
        <w:ind w:firstLine="632" w:firstLineChars="200"/>
        <w:rPr>
          <w:rFonts w:eastAsia="方正仿宋_GBK"/>
          <w:kern w:val="0"/>
        </w:rPr>
      </w:pPr>
      <w:r>
        <w:rPr>
          <w:rFonts w:eastAsia="方正仿宋_GBK"/>
          <w:kern w:val="0"/>
        </w:rPr>
        <w:t>（二）部门组织架构</w:t>
      </w:r>
    </w:p>
    <w:p>
      <w:pPr>
        <w:topLinePunct/>
        <w:spacing w:line="560" w:lineRule="exact"/>
        <w:ind w:firstLine="632" w:firstLineChars="200"/>
        <w:rPr>
          <w:rFonts w:eastAsia="方正仿宋_GBK"/>
          <w:kern w:val="0"/>
        </w:rPr>
      </w:pPr>
      <w:r>
        <w:rPr>
          <w:rFonts w:eastAsia="方正仿宋_GBK"/>
          <w:kern w:val="0"/>
        </w:rPr>
        <w:t>1．机构设置</w:t>
      </w:r>
    </w:p>
    <w:p>
      <w:pPr>
        <w:topLinePunct/>
        <w:spacing w:line="560" w:lineRule="exact"/>
        <w:ind w:firstLine="632" w:firstLineChars="200"/>
        <w:rPr>
          <w:rFonts w:eastAsia="方正仿宋_GBK"/>
          <w:kern w:val="0"/>
        </w:rPr>
      </w:pPr>
      <w:r>
        <w:rPr>
          <w:rFonts w:eastAsia="方正仿宋_GBK"/>
          <w:kern w:val="0"/>
        </w:rPr>
        <w:t>2．人员构成</w:t>
      </w:r>
    </w:p>
    <w:p>
      <w:pPr>
        <w:topLinePunct/>
        <w:spacing w:line="560" w:lineRule="exact"/>
        <w:ind w:firstLine="632" w:firstLineChars="200"/>
        <w:rPr>
          <w:rFonts w:eastAsia="方正仿宋_GBK"/>
          <w:kern w:val="0"/>
        </w:rPr>
      </w:pPr>
      <w:r>
        <w:rPr>
          <w:rFonts w:eastAsia="方正仿宋_GBK"/>
          <w:kern w:val="0"/>
        </w:rPr>
        <w:t>（三）当年部门（单位）重点工作任务概述。</w:t>
      </w:r>
    </w:p>
    <w:p>
      <w:pPr>
        <w:autoSpaceDE w:val="0"/>
        <w:autoSpaceDN w:val="0"/>
        <w:spacing w:line="560" w:lineRule="exact"/>
        <w:ind w:firstLine="632" w:firstLineChars="200"/>
        <w:jc w:val="left"/>
        <w:rPr>
          <w:rFonts w:eastAsia="方正黑体_GBK"/>
          <w:kern w:val="0"/>
        </w:rPr>
      </w:pPr>
      <w:r>
        <w:rPr>
          <w:rFonts w:eastAsia="方正黑体_GBK"/>
          <w:kern w:val="0"/>
        </w:rPr>
        <w:t>三、预算编制及执行情况</w:t>
      </w:r>
    </w:p>
    <w:p>
      <w:pPr>
        <w:topLinePunct/>
        <w:spacing w:line="560" w:lineRule="exact"/>
        <w:ind w:firstLine="632" w:firstLineChars="200"/>
        <w:rPr>
          <w:rFonts w:eastAsia="方正仿宋_GBK"/>
          <w:kern w:val="0"/>
        </w:rPr>
      </w:pPr>
      <w:r>
        <w:rPr>
          <w:rFonts w:eastAsia="方正楷体_GBK"/>
          <w:kern w:val="0"/>
        </w:rPr>
        <w:t>（一）预算编制情况。</w:t>
      </w:r>
      <w:r>
        <w:rPr>
          <w:rFonts w:eastAsia="方正仿宋_GBK"/>
          <w:kern w:val="0"/>
        </w:rPr>
        <w:t>部门（单位）当年收入预算及支出预算总体情况。</w:t>
      </w:r>
    </w:p>
    <w:p>
      <w:pPr>
        <w:topLinePunct/>
        <w:spacing w:line="560" w:lineRule="exact"/>
        <w:ind w:firstLine="632" w:firstLineChars="200"/>
        <w:rPr>
          <w:rFonts w:eastAsia="方正仿宋_GBK"/>
          <w:kern w:val="0"/>
        </w:rPr>
      </w:pPr>
      <w:r>
        <w:rPr>
          <w:rFonts w:eastAsia="方正楷体_GBK"/>
          <w:kern w:val="0"/>
        </w:rPr>
        <w:t>（二）预算执行情况。</w:t>
      </w:r>
      <w:r>
        <w:rPr>
          <w:rFonts w:eastAsia="方正仿宋_GBK"/>
          <w:kern w:val="0"/>
        </w:rPr>
        <w:t>基本支出、项目支出执行情况，其中：项目支出应列表载明项目名称、年初预算数、调整预算数、决算数和预算执行率等信息；专项资金分配下达情况</w:t>
      </w:r>
    </w:p>
    <w:p>
      <w:pPr>
        <w:autoSpaceDE w:val="0"/>
        <w:autoSpaceDN w:val="0"/>
        <w:spacing w:line="560" w:lineRule="exact"/>
        <w:ind w:firstLine="632" w:firstLineChars="200"/>
        <w:jc w:val="left"/>
        <w:rPr>
          <w:rFonts w:eastAsia="方正黑体_GBK"/>
          <w:kern w:val="0"/>
        </w:rPr>
      </w:pPr>
      <w:r>
        <w:rPr>
          <w:rFonts w:eastAsia="方正黑体_GBK"/>
          <w:kern w:val="0"/>
        </w:rPr>
        <w:t>四、基本运行绩效情况</w:t>
      </w:r>
    </w:p>
    <w:p>
      <w:pPr>
        <w:topLinePunct/>
        <w:spacing w:line="560" w:lineRule="exact"/>
        <w:ind w:firstLine="632" w:firstLineChars="200"/>
        <w:rPr>
          <w:rFonts w:eastAsia="方正仿宋_GBK"/>
          <w:kern w:val="0"/>
        </w:rPr>
      </w:pPr>
      <w:r>
        <w:rPr>
          <w:rFonts w:eastAsia="方正楷体_GBK"/>
          <w:kern w:val="0"/>
        </w:rPr>
        <w:t>（一）预算管理。</w:t>
      </w:r>
      <w:r>
        <w:rPr>
          <w:rFonts w:eastAsia="方正仿宋_GBK"/>
          <w:kern w:val="0"/>
        </w:rPr>
        <w:t>预算管理制度建设、“三公”经费管理、信息公开等工作开展情况。</w:t>
      </w:r>
    </w:p>
    <w:p>
      <w:pPr>
        <w:topLinePunct/>
        <w:spacing w:line="560" w:lineRule="exact"/>
        <w:ind w:firstLine="632" w:firstLineChars="200"/>
        <w:rPr>
          <w:rFonts w:eastAsia="方正仿宋_GBK"/>
          <w:kern w:val="0"/>
        </w:rPr>
      </w:pPr>
      <w:r>
        <w:rPr>
          <w:rFonts w:eastAsia="方正楷体_GBK"/>
          <w:kern w:val="0"/>
        </w:rPr>
        <w:t>（二）绩效管理。</w:t>
      </w:r>
      <w:r>
        <w:rPr>
          <w:rFonts w:eastAsia="方正仿宋_GBK"/>
          <w:kern w:val="0"/>
        </w:rPr>
        <w:t>预算绩效管理制度建设及工作开展情况。</w:t>
      </w:r>
    </w:p>
    <w:p>
      <w:pPr>
        <w:topLinePunct/>
        <w:spacing w:line="560" w:lineRule="exact"/>
        <w:ind w:firstLine="632" w:firstLineChars="200"/>
        <w:rPr>
          <w:rFonts w:eastAsia="方正仿宋_GBK"/>
          <w:kern w:val="0"/>
        </w:rPr>
      </w:pPr>
      <w:r>
        <w:rPr>
          <w:rFonts w:eastAsia="方正楷体_GBK"/>
          <w:kern w:val="0"/>
        </w:rPr>
        <w:t>（三）财务管理。</w:t>
      </w:r>
      <w:r>
        <w:rPr>
          <w:rFonts w:eastAsia="方正仿宋_GBK"/>
          <w:kern w:val="0"/>
        </w:rPr>
        <w:t>财务管理制度建设及工作开展情况。</w:t>
      </w:r>
    </w:p>
    <w:p>
      <w:pPr>
        <w:topLinePunct/>
        <w:spacing w:line="560" w:lineRule="exact"/>
        <w:ind w:firstLine="632" w:firstLineChars="200"/>
        <w:rPr>
          <w:rFonts w:eastAsia="方正仿宋_GBK"/>
          <w:kern w:val="0"/>
        </w:rPr>
      </w:pPr>
      <w:r>
        <w:rPr>
          <w:rFonts w:eastAsia="方正楷体_GBK"/>
          <w:kern w:val="0"/>
        </w:rPr>
        <w:t>（四）政府采购管理。</w:t>
      </w:r>
      <w:r>
        <w:rPr>
          <w:rFonts w:eastAsia="方正仿宋_GBK"/>
          <w:kern w:val="0"/>
        </w:rPr>
        <w:t>政府采购管理制度建设及工作开展情况。</w:t>
      </w:r>
    </w:p>
    <w:p>
      <w:pPr>
        <w:topLinePunct/>
        <w:spacing w:line="560" w:lineRule="exact"/>
        <w:ind w:firstLine="632" w:firstLineChars="200"/>
        <w:rPr>
          <w:rFonts w:eastAsia="方正仿宋_GBK"/>
          <w:kern w:val="0"/>
        </w:rPr>
      </w:pPr>
      <w:r>
        <w:rPr>
          <w:rFonts w:eastAsia="方正楷体_GBK"/>
          <w:kern w:val="0"/>
        </w:rPr>
        <w:t>（五）资产管理。</w:t>
      </w:r>
      <w:r>
        <w:rPr>
          <w:rFonts w:eastAsia="方正仿宋_GBK"/>
          <w:kern w:val="0"/>
        </w:rPr>
        <w:t>资产总价值、明细及在用情况；资产管理制度建设及工作开展情况。</w:t>
      </w:r>
    </w:p>
    <w:p>
      <w:pPr>
        <w:autoSpaceDE w:val="0"/>
        <w:autoSpaceDN w:val="0"/>
        <w:spacing w:line="560" w:lineRule="exact"/>
        <w:ind w:firstLine="632" w:firstLineChars="200"/>
        <w:jc w:val="left"/>
        <w:rPr>
          <w:rFonts w:eastAsia="方正黑体_GBK"/>
          <w:kern w:val="0"/>
        </w:rPr>
      </w:pPr>
      <w:r>
        <w:rPr>
          <w:rFonts w:eastAsia="方正黑体_GBK"/>
          <w:kern w:val="0"/>
        </w:rPr>
        <w:t>五、重点履职绩效分析</w:t>
      </w:r>
    </w:p>
    <w:p>
      <w:pPr>
        <w:autoSpaceDE w:val="0"/>
        <w:autoSpaceDN w:val="0"/>
        <w:spacing w:line="560" w:lineRule="exact"/>
        <w:ind w:firstLine="632" w:firstLineChars="200"/>
        <w:jc w:val="left"/>
        <w:rPr>
          <w:rFonts w:eastAsia="方正仿宋_GBK"/>
          <w:kern w:val="0"/>
        </w:rPr>
      </w:pPr>
      <w:r>
        <w:rPr>
          <w:rFonts w:eastAsia="方正仿宋_GBK"/>
          <w:kern w:val="0"/>
        </w:rPr>
        <w:t>（一）整体支出绩效目标及完成情况。</w:t>
      </w:r>
    </w:p>
    <w:p>
      <w:pPr>
        <w:autoSpaceDE w:val="0"/>
        <w:autoSpaceDN w:val="0"/>
        <w:spacing w:line="560" w:lineRule="exact"/>
        <w:ind w:firstLine="632" w:firstLineChars="200"/>
        <w:jc w:val="left"/>
        <w:rPr>
          <w:rFonts w:eastAsia="方正仿宋_GBK"/>
          <w:kern w:val="0"/>
        </w:rPr>
      </w:pPr>
      <w:r>
        <w:rPr>
          <w:rFonts w:eastAsia="方正仿宋_GBK"/>
          <w:kern w:val="0"/>
        </w:rPr>
        <w:t>（二）重点履职绩效目标及完成情况。</w:t>
      </w:r>
    </w:p>
    <w:p>
      <w:pPr>
        <w:autoSpaceDE w:val="0"/>
        <w:autoSpaceDN w:val="0"/>
        <w:spacing w:line="560" w:lineRule="exact"/>
        <w:ind w:firstLine="632" w:firstLineChars="200"/>
        <w:jc w:val="left"/>
        <w:rPr>
          <w:rFonts w:eastAsia="方正仿宋_GBK"/>
          <w:kern w:val="0"/>
        </w:rPr>
      </w:pPr>
      <w:r>
        <w:rPr>
          <w:rFonts w:eastAsia="方正仿宋_GBK"/>
          <w:kern w:val="0"/>
        </w:rPr>
        <w:t>1．完成情况：从数量、质量、时效等方面反映年度重点工作任务完成情况。</w:t>
      </w:r>
    </w:p>
    <w:p>
      <w:pPr>
        <w:autoSpaceDE w:val="0"/>
        <w:autoSpaceDN w:val="0"/>
        <w:spacing w:line="560" w:lineRule="exact"/>
        <w:ind w:firstLine="632" w:firstLineChars="200"/>
        <w:jc w:val="left"/>
        <w:rPr>
          <w:rFonts w:eastAsia="方正仿宋_GBK"/>
          <w:kern w:val="0"/>
        </w:rPr>
      </w:pPr>
      <w:r>
        <w:rPr>
          <w:rFonts w:eastAsia="方正仿宋_GBK"/>
          <w:kern w:val="0"/>
        </w:rPr>
        <w:t>2．效果情况：从社会效益、经济效益、生态效益等方面反映部门（单位）履职效果实现情况。</w:t>
      </w:r>
    </w:p>
    <w:p>
      <w:pPr>
        <w:autoSpaceDE w:val="0"/>
        <w:autoSpaceDN w:val="0"/>
        <w:spacing w:line="560" w:lineRule="exact"/>
        <w:ind w:firstLine="632" w:firstLineChars="200"/>
        <w:jc w:val="left"/>
        <w:rPr>
          <w:rFonts w:eastAsia="方正仿宋_GBK"/>
          <w:kern w:val="0"/>
        </w:rPr>
      </w:pPr>
      <w:r>
        <w:rPr>
          <w:rFonts w:eastAsia="方正仿宋_GBK"/>
          <w:kern w:val="0"/>
        </w:rPr>
        <w:t>3．可持续性影响和社会满意度情况。</w:t>
      </w:r>
    </w:p>
    <w:p>
      <w:pPr>
        <w:autoSpaceDE w:val="0"/>
        <w:autoSpaceDN w:val="0"/>
        <w:spacing w:line="560" w:lineRule="exact"/>
        <w:ind w:firstLine="632" w:firstLineChars="200"/>
        <w:jc w:val="left"/>
        <w:rPr>
          <w:rFonts w:eastAsia="方正仿宋_GBK"/>
          <w:kern w:val="0"/>
        </w:rPr>
      </w:pPr>
      <w:r>
        <w:rPr>
          <w:rFonts w:eastAsia="方正仿宋_GBK"/>
          <w:kern w:val="0"/>
        </w:rPr>
        <w:t>（三）重点项目支出绩效情况。重点项目的完成及效果情况。</w:t>
      </w:r>
    </w:p>
    <w:p>
      <w:pPr>
        <w:autoSpaceDE w:val="0"/>
        <w:autoSpaceDN w:val="0"/>
        <w:spacing w:line="560" w:lineRule="exact"/>
        <w:ind w:firstLine="632" w:firstLineChars="200"/>
        <w:jc w:val="left"/>
        <w:rPr>
          <w:rFonts w:eastAsia="方正黑体_GBK"/>
          <w:kern w:val="0"/>
        </w:rPr>
      </w:pPr>
      <w:r>
        <w:rPr>
          <w:rFonts w:eastAsia="方正黑体_GBK"/>
          <w:kern w:val="0"/>
        </w:rPr>
        <w:t>六、评价结论及绩效分析（包括指标体系评分表及扣分原因分析）。</w:t>
      </w:r>
    </w:p>
    <w:p>
      <w:pPr>
        <w:autoSpaceDE w:val="0"/>
        <w:autoSpaceDN w:val="0"/>
        <w:spacing w:line="560" w:lineRule="exact"/>
        <w:ind w:firstLine="632" w:firstLineChars="200"/>
        <w:jc w:val="left"/>
        <w:rPr>
          <w:rFonts w:eastAsia="方正黑体_GBK"/>
          <w:kern w:val="0"/>
        </w:rPr>
      </w:pPr>
      <w:r>
        <w:rPr>
          <w:rFonts w:eastAsia="方正黑体_GBK"/>
          <w:kern w:val="0"/>
        </w:rPr>
        <w:t>七、存在问题及改进措施</w:t>
      </w:r>
    </w:p>
    <w:p>
      <w:pPr>
        <w:spacing w:line="560" w:lineRule="exact"/>
        <w:ind w:firstLine="632" w:firstLineChars="200"/>
        <w:rPr>
          <w:rFonts w:eastAsia="方正仿宋_GBK"/>
          <w:kern w:val="0"/>
        </w:rPr>
      </w:pPr>
      <w:r>
        <w:rPr>
          <w:rFonts w:eastAsia="方正仿宋_GBK"/>
          <w:kern w:val="0"/>
        </w:rPr>
        <w:t>（一）主要问题及原因分析</w:t>
      </w:r>
    </w:p>
    <w:p>
      <w:pPr>
        <w:spacing w:line="560" w:lineRule="exact"/>
        <w:ind w:firstLine="632" w:firstLineChars="200"/>
      </w:pPr>
      <w:r>
        <w:rPr>
          <w:rFonts w:eastAsia="方正仿宋_GBK"/>
          <w:kern w:val="0"/>
        </w:rPr>
        <w:t>（二）改进方向和具体措施</w:t>
      </w:r>
    </w:p>
    <w:p>
      <w:pPr>
        <w:topLinePunct/>
        <w:rPr>
          <w:rFonts w:eastAsia="方正仿宋_GBK"/>
          <w:color w:val="000000"/>
        </w:rPr>
        <w:sectPr>
          <w:footerReference r:id="rId3" w:type="default"/>
          <w:footerReference r:id="rId4" w:type="even"/>
          <w:pgSz w:w="11906" w:h="16838"/>
          <w:pgMar w:top="2098" w:right="1531" w:bottom="1985" w:left="1531" w:header="709" w:footer="1418" w:gutter="0"/>
          <w:cols w:space="425" w:num="1"/>
          <w:docGrid w:type="linesAndChars" w:linePitch="579" w:charSpace="-849"/>
        </w:sectPr>
      </w:pPr>
    </w:p>
    <w:p>
      <w:pPr>
        <w:topLinePunct/>
        <w:jc w:val="center"/>
        <w:outlineLvl w:val="0"/>
        <w:rPr>
          <w:rStyle w:val="26"/>
          <w:rFonts w:ascii="方正黑体_GBK" w:eastAsia="方正黑体_GBK"/>
          <w:b w:val="0"/>
          <w:bCs w:val="0"/>
          <w:sz w:val="32"/>
          <w:szCs w:val="32"/>
        </w:rPr>
      </w:pPr>
      <w:bookmarkStart w:id="59" w:name="_Toc80711343"/>
      <w:r>
        <w:rPr>
          <w:rFonts w:hint="eastAsia" w:ascii="方正黑体_GBK" w:eastAsia="方正黑体_GBK"/>
          <w:color w:val="000000"/>
        </w:rPr>
        <w:t>第</w:t>
      </w:r>
      <w:r>
        <w:rPr>
          <w:rStyle w:val="26"/>
          <w:rFonts w:hint="eastAsia" w:ascii="方正黑体_GBK" w:eastAsia="方正黑体_GBK"/>
          <w:b w:val="0"/>
          <w:bCs w:val="0"/>
          <w:sz w:val="32"/>
          <w:szCs w:val="32"/>
        </w:rPr>
        <w:t>五部分附表</w:t>
      </w:r>
      <w:bookmarkEnd w:id="59"/>
    </w:p>
    <w:p>
      <w:pPr>
        <w:tabs>
          <w:tab w:val="left" w:pos="7584"/>
        </w:tabs>
        <w:topLinePunct/>
        <w:rPr>
          <w:rFonts w:eastAsia="方正仿宋_GBK"/>
          <w:color w:val="000000"/>
        </w:rPr>
      </w:pPr>
    </w:p>
    <w:p>
      <w:pPr>
        <w:tabs>
          <w:tab w:val="left" w:pos="7584"/>
        </w:tabs>
        <w:topLinePunct/>
        <w:outlineLvl w:val="1"/>
        <w:rPr>
          <w:rFonts w:eastAsia="方正仿宋_GBK"/>
          <w:color w:val="000000"/>
        </w:rPr>
      </w:pPr>
      <w:bookmarkStart w:id="60" w:name="_Toc80711344"/>
      <w:r>
        <w:rPr>
          <w:rFonts w:hint="eastAsia" w:eastAsia="方正仿宋_GBK"/>
          <w:color w:val="000000"/>
        </w:rPr>
        <w:t>一、收入支出决算总表</w:t>
      </w:r>
      <w:bookmarkEnd w:id="60"/>
    </w:p>
    <w:p>
      <w:pPr>
        <w:tabs>
          <w:tab w:val="left" w:pos="7584"/>
        </w:tabs>
        <w:topLinePunct/>
        <w:outlineLvl w:val="1"/>
        <w:rPr>
          <w:rFonts w:eastAsia="方正仿宋_GBK"/>
          <w:color w:val="000000"/>
        </w:rPr>
      </w:pPr>
      <w:bookmarkStart w:id="61" w:name="_Toc80711345"/>
      <w:r>
        <w:rPr>
          <w:rFonts w:hint="eastAsia" w:eastAsia="方正仿宋_GBK"/>
          <w:color w:val="000000"/>
        </w:rPr>
        <w:t>二、收入决算表</w:t>
      </w:r>
      <w:bookmarkEnd w:id="61"/>
    </w:p>
    <w:p>
      <w:pPr>
        <w:tabs>
          <w:tab w:val="left" w:pos="7584"/>
        </w:tabs>
        <w:topLinePunct/>
        <w:outlineLvl w:val="1"/>
        <w:rPr>
          <w:rFonts w:eastAsia="方正仿宋_GBK"/>
          <w:color w:val="000000"/>
        </w:rPr>
      </w:pPr>
      <w:bookmarkStart w:id="62" w:name="_Toc80711346"/>
      <w:r>
        <w:rPr>
          <w:rFonts w:hint="eastAsia" w:eastAsia="方正仿宋_GBK"/>
          <w:color w:val="000000"/>
        </w:rPr>
        <w:t>三、支出决算表</w:t>
      </w:r>
      <w:bookmarkEnd w:id="62"/>
    </w:p>
    <w:p>
      <w:pPr>
        <w:tabs>
          <w:tab w:val="left" w:pos="7584"/>
        </w:tabs>
        <w:topLinePunct/>
        <w:outlineLvl w:val="1"/>
        <w:rPr>
          <w:rFonts w:eastAsia="方正仿宋_GBK"/>
          <w:color w:val="000000"/>
        </w:rPr>
      </w:pPr>
      <w:bookmarkStart w:id="63" w:name="_Toc80711347"/>
      <w:r>
        <w:rPr>
          <w:rFonts w:hint="eastAsia" w:eastAsia="方正仿宋_GBK"/>
          <w:color w:val="000000"/>
        </w:rPr>
        <w:t>四、财政拨款收入支出决算总表</w:t>
      </w:r>
      <w:bookmarkEnd w:id="63"/>
    </w:p>
    <w:p>
      <w:pPr>
        <w:tabs>
          <w:tab w:val="left" w:pos="7584"/>
        </w:tabs>
        <w:topLinePunct/>
        <w:outlineLvl w:val="1"/>
        <w:rPr>
          <w:rFonts w:eastAsia="方正仿宋_GBK"/>
          <w:color w:val="000000"/>
        </w:rPr>
      </w:pPr>
      <w:bookmarkStart w:id="64" w:name="_Toc80711348"/>
      <w:r>
        <w:rPr>
          <w:rFonts w:hint="eastAsia" w:eastAsia="方正仿宋_GBK"/>
          <w:color w:val="000000"/>
        </w:rPr>
        <w:t>五、财政拨款支出决算明细表</w:t>
      </w:r>
      <w:bookmarkEnd w:id="64"/>
    </w:p>
    <w:p>
      <w:pPr>
        <w:tabs>
          <w:tab w:val="left" w:pos="7584"/>
        </w:tabs>
        <w:topLinePunct/>
        <w:outlineLvl w:val="1"/>
        <w:rPr>
          <w:rFonts w:eastAsia="方正仿宋_GBK"/>
          <w:color w:val="000000"/>
        </w:rPr>
      </w:pPr>
      <w:bookmarkStart w:id="65" w:name="_Toc80711349"/>
      <w:r>
        <w:rPr>
          <w:rFonts w:hint="eastAsia" w:eastAsia="方正仿宋_GBK"/>
          <w:color w:val="000000"/>
        </w:rPr>
        <w:t>六、一般公共预算财政拨款支出决算表</w:t>
      </w:r>
      <w:bookmarkEnd w:id="65"/>
    </w:p>
    <w:p>
      <w:pPr>
        <w:tabs>
          <w:tab w:val="left" w:pos="7584"/>
        </w:tabs>
        <w:topLinePunct/>
        <w:outlineLvl w:val="1"/>
        <w:rPr>
          <w:rFonts w:eastAsia="方正仿宋_GBK"/>
          <w:color w:val="000000"/>
        </w:rPr>
      </w:pPr>
      <w:bookmarkStart w:id="66" w:name="_Toc80711350"/>
      <w:r>
        <w:rPr>
          <w:rFonts w:hint="eastAsia" w:eastAsia="方正仿宋_GBK"/>
          <w:color w:val="000000"/>
        </w:rPr>
        <w:t>七、一般公共预算财政拨款支出决算明细表</w:t>
      </w:r>
      <w:bookmarkEnd w:id="66"/>
    </w:p>
    <w:p>
      <w:pPr>
        <w:tabs>
          <w:tab w:val="left" w:pos="7584"/>
        </w:tabs>
        <w:topLinePunct/>
        <w:outlineLvl w:val="1"/>
        <w:rPr>
          <w:rFonts w:eastAsia="方正仿宋_GBK"/>
          <w:color w:val="000000"/>
        </w:rPr>
      </w:pPr>
      <w:bookmarkStart w:id="67" w:name="_Toc80711351"/>
      <w:r>
        <w:rPr>
          <w:rFonts w:hint="eastAsia" w:eastAsia="方正仿宋_GBK"/>
          <w:color w:val="000000"/>
        </w:rPr>
        <w:t>八、一般公共预算财政拨款基本支出决算表</w:t>
      </w:r>
      <w:bookmarkEnd w:id="67"/>
    </w:p>
    <w:p>
      <w:pPr>
        <w:tabs>
          <w:tab w:val="left" w:pos="7584"/>
        </w:tabs>
        <w:topLinePunct/>
        <w:outlineLvl w:val="1"/>
        <w:rPr>
          <w:rFonts w:eastAsia="方正仿宋_GBK"/>
          <w:color w:val="000000"/>
        </w:rPr>
      </w:pPr>
      <w:bookmarkStart w:id="68" w:name="_Toc80711352"/>
      <w:r>
        <w:rPr>
          <w:rFonts w:hint="eastAsia" w:eastAsia="方正仿宋_GBK"/>
          <w:color w:val="000000"/>
        </w:rPr>
        <w:t>九、一般公共预算财政拨款项目支出决算表</w:t>
      </w:r>
      <w:bookmarkEnd w:id="68"/>
    </w:p>
    <w:p>
      <w:pPr>
        <w:tabs>
          <w:tab w:val="left" w:pos="7584"/>
        </w:tabs>
        <w:topLinePunct/>
        <w:outlineLvl w:val="1"/>
        <w:rPr>
          <w:rFonts w:eastAsia="方正仿宋_GBK"/>
          <w:color w:val="000000"/>
        </w:rPr>
      </w:pPr>
      <w:bookmarkStart w:id="69" w:name="_Toc80711353"/>
      <w:r>
        <w:rPr>
          <w:rFonts w:hint="eastAsia" w:eastAsia="方正仿宋_GBK"/>
          <w:color w:val="000000"/>
        </w:rPr>
        <w:t>十、一般公共预算财政拨款“三公”经费支出决算表</w:t>
      </w:r>
      <w:bookmarkEnd w:id="69"/>
    </w:p>
    <w:p>
      <w:pPr>
        <w:tabs>
          <w:tab w:val="left" w:pos="7584"/>
        </w:tabs>
        <w:topLinePunct/>
        <w:outlineLvl w:val="1"/>
        <w:rPr>
          <w:rFonts w:eastAsia="方正仿宋_GBK"/>
          <w:color w:val="000000"/>
        </w:rPr>
      </w:pPr>
      <w:bookmarkStart w:id="70" w:name="_Toc80711354"/>
      <w:r>
        <w:rPr>
          <w:rFonts w:hint="eastAsia" w:eastAsia="方正仿宋_GBK"/>
          <w:color w:val="000000"/>
        </w:rPr>
        <w:t>十一、政府性基金预算财政拨款收入支出决算表</w:t>
      </w:r>
      <w:bookmarkEnd w:id="70"/>
    </w:p>
    <w:p>
      <w:pPr>
        <w:tabs>
          <w:tab w:val="left" w:pos="7584"/>
        </w:tabs>
        <w:topLinePunct/>
        <w:outlineLvl w:val="1"/>
        <w:rPr>
          <w:rFonts w:eastAsia="方正仿宋_GBK"/>
          <w:color w:val="000000"/>
        </w:rPr>
      </w:pPr>
      <w:bookmarkStart w:id="71" w:name="_Toc80711355"/>
      <w:r>
        <w:rPr>
          <w:rFonts w:hint="eastAsia" w:eastAsia="方正仿宋_GBK"/>
          <w:color w:val="000000"/>
        </w:rPr>
        <w:t>十二、政府性基金预算财政拨款“三公”经费支出决算表</w:t>
      </w:r>
      <w:bookmarkEnd w:id="71"/>
    </w:p>
    <w:p>
      <w:pPr>
        <w:tabs>
          <w:tab w:val="left" w:pos="7584"/>
        </w:tabs>
        <w:topLinePunct/>
        <w:outlineLvl w:val="1"/>
        <w:rPr>
          <w:rFonts w:eastAsia="方正仿宋_GBK"/>
          <w:color w:val="000000"/>
        </w:rPr>
      </w:pPr>
      <w:bookmarkStart w:id="72" w:name="_Toc80711356"/>
      <w:r>
        <w:rPr>
          <w:rFonts w:hint="eastAsia" w:eastAsia="方正仿宋_GBK"/>
          <w:color w:val="000000"/>
        </w:rPr>
        <w:t>十三、国有资本经营预算收入支出决算表</w:t>
      </w:r>
      <w:bookmarkEnd w:id="72"/>
    </w:p>
    <w:p>
      <w:pPr>
        <w:tabs>
          <w:tab w:val="left" w:pos="7584"/>
        </w:tabs>
        <w:topLinePunct/>
        <w:outlineLvl w:val="1"/>
        <w:rPr>
          <w:rFonts w:eastAsia="方正仿宋_GBK"/>
          <w:color w:val="000000"/>
        </w:rPr>
      </w:pPr>
      <w:bookmarkStart w:id="73" w:name="_Toc80711357"/>
      <w:r>
        <w:rPr>
          <w:rFonts w:hint="eastAsia" w:eastAsia="方正仿宋_GBK"/>
          <w:color w:val="000000"/>
        </w:rPr>
        <w:t>十四、国有资本经营预算财政拨款支出决算表</w:t>
      </w:r>
      <w:bookmarkEnd w:id="73"/>
    </w:p>
    <w:p>
      <w:pPr>
        <w:tabs>
          <w:tab w:val="left" w:pos="7584"/>
        </w:tabs>
        <w:topLinePunct/>
        <w:ind w:firstLine="632" w:firstLineChars="200"/>
        <w:rPr>
          <w:rFonts w:eastAsia="方正仿宋_GBK"/>
          <w:color w:val="000000"/>
        </w:rPr>
      </w:pPr>
      <w:r>
        <w:rPr>
          <w:rFonts w:hint="eastAsia" w:eastAsia="方正仿宋_GBK"/>
          <w:color w:val="000000"/>
        </w:rPr>
        <w:t>注：后附2020年度部门决算公开套表金额单位转换时可能存在尾数误差。</w:t>
      </w:r>
    </w:p>
    <w:p>
      <w:pPr>
        <w:tabs>
          <w:tab w:val="left" w:pos="7584"/>
        </w:tabs>
        <w:topLinePunct/>
        <w:ind w:firstLine="316" w:firstLineChars="100"/>
        <w:rPr>
          <w:rFonts w:eastAsia="方正仿宋_GBK"/>
          <w:color w:val="000000"/>
        </w:rPr>
      </w:pPr>
    </w:p>
    <w:sectPr>
      <w:pgSz w:w="11906" w:h="16838"/>
      <w:pgMar w:top="2098" w:right="1531" w:bottom="1985" w:left="1531" w:header="709" w:footer="1418"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
    <w:altName w:val="仿宋"/>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方正黑体_GBK">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script"/>
    <w:pitch w:val="default"/>
    <w:sig w:usb0="00000000" w:usb1="00000000" w:usb2="00000010" w:usb3="00000000" w:csb0="00040000" w:csb1="00000000"/>
  </w:font>
  <w:font w:name="方正小标宋简体">
    <w:altName w:val="黑体"/>
    <w:panose1 w:val="00000000000000000000"/>
    <w:charset w:val="86"/>
    <w:family w:val="script"/>
    <w:pitch w:val="default"/>
    <w:sig w:usb0="00000000" w:usb1="00000000" w:usb2="00000010" w:usb3="00000000" w:csb0="00040000" w:csb1="00000000"/>
  </w:font>
  <w:font w:name="方正仿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uto" w:vAnchor="text" w:hAnchor="margin" w:xAlign="outside" w:y="1"/>
      <w:rPr>
        <w:rStyle w:val="23"/>
        <w:rFonts w:ascii="宋体" w:hAnsi="宋体" w:eastAsia="宋体"/>
        <w:sz w:val="28"/>
        <w:szCs w:val="28"/>
      </w:rPr>
    </w:pP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oNotHyphenateCaps/>
  <w:evenAndOddHeaders w:val="1"/>
  <w:drawingGridHorizontalSpacing w:val="158"/>
  <w:drawingGridVerticalSpacing w:val="579"/>
  <w:displayHorizontalDrawingGridEvery w:val="0"/>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QxNTAwNTM5ODBlMTc5OThkZDYwMDBiMzI2NWQxNmQifQ=="/>
  </w:docVars>
  <w:rsids>
    <w:rsidRoot w:val="00426EE2"/>
    <w:rsid w:val="00000AB1"/>
    <w:rsid w:val="00001C79"/>
    <w:rsid w:val="00004981"/>
    <w:rsid w:val="0000582D"/>
    <w:rsid w:val="000072F2"/>
    <w:rsid w:val="00010233"/>
    <w:rsid w:val="000140F9"/>
    <w:rsid w:val="00015715"/>
    <w:rsid w:val="00030A3F"/>
    <w:rsid w:val="000326C7"/>
    <w:rsid w:val="000364AD"/>
    <w:rsid w:val="00042F71"/>
    <w:rsid w:val="00046D69"/>
    <w:rsid w:val="000530BA"/>
    <w:rsid w:val="00055950"/>
    <w:rsid w:val="00060582"/>
    <w:rsid w:val="00065BAB"/>
    <w:rsid w:val="00066415"/>
    <w:rsid w:val="00072774"/>
    <w:rsid w:val="000729F0"/>
    <w:rsid w:val="00072E20"/>
    <w:rsid w:val="00076745"/>
    <w:rsid w:val="00080D61"/>
    <w:rsid w:val="00081C11"/>
    <w:rsid w:val="0008427A"/>
    <w:rsid w:val="000843CF"/>
    <w:rsid w:val="0008486E"/>
    <w:rsid w:val="00087482"/>
    <w:rsid w:val="00091E41"/>
    <w:rsid w:val="00091FB9"/>
    <w:rsid w:val="000932B2"/>
    <w:rsid w:val="0009340E"/>
    <w:rsid w:val="00095295"/>
    <w:rsid w:val="000A25D3"/>
    <w:rsid w:val="000B2DC9"/>
    <w:rsid w:val="000B62D3"/>
    <w:rsid w:val="000C1D84"/>
    <w:rsid w:val="000C4ACB"/>
    <w:rsid w:val="000D3B76"/>
    <w:rsid w:val="000D68E3"/>
    <w:rsid w:val="000F3C6A"/>
    <w:rsid w:val="000F5C63"/>
    <w:rsid w:val="001005D7"/>
    <w:rsid w:val="00102D40"/>
    <w:rsid w:val="00102F3B"/>
    <w:rsid w:val="0010689A"/>
    <w:rsid w:val="00106C93"/>
    <w:rsid w:val="00106D5A"/>
    <w:rsid w:val="001163D8"/>
    <w:rsid w:val="00122AE6"/>
    <w:rsid w:val="00124502"/>
    <w:rsid w:val="00131AE0"/>
    <w:rsid w:val="001346B0"/>
    <w:rsid w:val="00134742"/>
    <w:rsid w:val="001357F0"/>
    <w:rsid w:val="00150B63"/>
    <w:rsid w:val="00152B48"/>
    <w:rsid w:val="001544C9"/>
    <w:rsid w:val="0015502C"/>
    <w:rsid w:val="001559FE"/>
    <w:rsid w:val="00156C6F"/>
    <w:rsid w:val="001639A0"/>
    <w:rsid w:val="00164EB4"/>
    <w:rsid w:val="0016584B"/>
    <w:rsid w:val="00172020"/>
    <w:rsid w:val="0017361B"/>
    <w:rsid w:val="00175876"/>
    <w:rsid w:val="001768AB"/>
    <w:rsid w:val="001854A6"/>
    <w:rsid w:val="00190B93"/>
    <w:rsid w:val="00191D3C"/>
    <w:rsid w:val="00195166"/>
    <w:rsid w:val="001A0E71"/>
    <w:rsid w:val="001A15C4"/>
    <w:rsid w:val="001A478A"/>
    <w:rsid w:val="001A4B39"/>
    <w:rsid w:val="001B1FD8"/>
    <w:rsid w:val="001B2AC7"/>
    <w:rsid w:val="001B3A06"/>
    <w:rsid w:val="001B5455"/>
    <w:rsid w:val="001C1B96"/>
    <w:rsid w:val="001C22C5"/>
    <w:rsid w:val="001C5500"/>
    <w:rsid w:val="001D22B5"/>
    <w:rsid w:val="001D2E0A"/>
    <w:rsid w:val="001D5DD8"/>
    <w:rsid w:val="001D5EBF"/>
    <w:rsid w:val="001D625F"/>
    <w:rsid w:val="001E29B9"/>
    <w:rsid w:val="001E4B51"/>
    <w:rsid w:val="001E4C44"/>
    <w:rsid w:val="001E6901"/>
    <w:rsid w:val="001E770D"/>
    <w:rsid w:val="001E7D73"/>
    <w:rsid w:val="001F6BEE"/>
    <w:rsid w:val="00200ED4"/>
    <w:rsid w:val="00201E2C"/>
    <w:rsid w:val="00203D7D"/>
    <w:rsid w:val="00203D9E"/>
    <w:rsid w:val="0020724E"/>
    <w:rsid w:val="00207860"/>
    <w:rsid w:val="00211805"/>
    <w:rsid w:val="00215D9B"/>
    <w:rsid w:val="00215DCF"/>
    <w:rsid w:val="00230E0F"/>
    <w:rsid w:val="00231C61"/>
    <w:rsid w:val="00233002"/>
    <w:rsid w:val="00234CB5"/>
    <w:rsid w:val="002423AA"/>
    <w:rsid w:val="00245150"/>
    <w:rsid w:val="00245DF3"/>
    <w:rsid w:val="00246C43"/>
    <w:rsid w:val="00246D03"/>
    <w:rsid w:val="00247335"/>
    <w:rsid w:val="00247790"/>
    <w:rsid w:val="00250A18"/>
    <w:rsid w:val="00250A47"/>
    <w:rsid w:val="00251134"/>
    <w:rsid w:val="00253788"/>
    <w:rsid w:val="002552C0"/>
    <w:rsid w:val="002577F1"/>
    <w:rsid w:val="0026001A"/>
    <w:rsid w:val="002617AF"/>
    <w:rsid w:val="002668FC"/>
    <w:rsid w:val="00266FA2"/>
    <w:rsid w:val="002710A4"/>
    <w:rsid w:val="0027279A"/>
    <w:rsid w:val="00273D02"/>
    <w:rsid w:val="0027645F"/>
    <w:rsid w:val="002826E7"/>
    <w:rsid w:val="00285BD1"/>
    <w:rsid w:val="00291CD2"/>
    <w:rsid w:val="00295E1E"/>
    <w:rsid w:val="002A0B12"/>
    <w:rsid w:val="002A12C3"/>
    <w:rsid w:val="002A1ACD"/>
    <w:rsid w:val="002A31CA"/>
    <w:rsid w:val="002A58C8"/>
    <w:rsid w:val="002A6F3C"/>
    <w:rsid w:val="002B4647"/>
    <w:rsid w:val="002B4933"/>
    <w:rsid w:val="002B59A6"/>
    <w:rsid w:val="002B675D"/>
    <w:rsid w:val="002B6BCF"/>
    <w:rsid w:val="002B6D64"/>
    <w:rsid w:val="002C474C"/>
    <w:rsid w:val="002C4CB5"/>
    <w:rsid w:val="002C6128"/>
    <w:rsid w:val="002D34C0"/>
    <w:rsid w:val="002D446C"/>
    <w:rsid w:val="002D5561"/>
    <w:rsid w:val="002D5B10"/>
    <w:rsid w:val="002D6465"/>
    <w:rsid w:val="002E7A1F"/>
    <w:rsid w:val="002F3228"/>
    <w:rsid w:val="002F3558"/>
    <w:rsid w:val="002F3D28"/>
    <w:rsid w:val="00302529"/>
    <w:rsid w:val="00316C5F"/>
    <w:rsid w:val="00317260"/>
    <w:rsid w:val="00320341"/>
    <w:rsid w:val="00324DCA"/>
    <w:rsid w:val="00324E70"/>
    <w:rsid w:val="00325631"/>
    <w:rsid w:val="0033011A"/>
    <w:rsid w:val="003302CC"/>
    <w:rsid w:val="00333F03"/>
    <w:rsid w:val="00336DB0"/>
    <w:rsid w:val="00337CEF"/>
    <w:rsid w:val="00350D97"/>
    <w:rsid w:val="0035525E"/>
    <w:rsid w:val="00355CE8"/>
    <w:rsid w:val="0035638E"/>
    <w:rsid w:val="00356EB3"/>
    <w:rsid w:val="00366733"/>
    <w:rsid w:val="00366D34"/>
    <w:rsid w:val="003702C8"/>
    <w:rsid w:val="0037253D"/>
    <w:rsid w:val="00372DE4"/>
    <w:rsid w:val="00372ED2"/>
    <w:rsid w:val="00375815"/>
    <w:rsid w:val="00375B3E"/>
    <w:rsid w:val="00383280"/>
    <w:rsid w:val="0038402E"/>
    <w:rsid w:val="00386E05"/>
    <w:rsid w:val="003873A5"/>
    <w:rsid w:val="0039190C"/>
    <w:rsid w:val="00391E2C"/>
    <w:rsid w:val="0039240E"/>
    <w:rsid w:val="003933A5"/>
    <w:rsid w:val="003963A6"/>
    <w:rsid w:val="00397C4C"/>
    <w:rsid w:val="003A031C"/>
    <w:rsid w:val="003A0A69"/>
    <w:rsid w:val="003A1BFD"/>
    <w:rsid w:val="003A3A1A"/>
    <w:rsid w:val="003A3EBE"/>
    <w:rsid w:val="003A4C46"/>
    <w:rsid w:val="003A4E48"/>
    <w:rsid w:val="003A7034"/>
    <w:rsid w:val="003B1406"/>
    <w:rsid w:val="003B3CC7"/>
    <w:rsid w:val="003B47B3"/>
    <w:rsid w:val="003B4B33"/>
    <w:rsid w:val="003C6EBB"/>
    <w:rsid w:val="003D0278"/>
    <w:rsid w:val="003D0F5A"/>
    <w:rsid w:val="003E605B"/>
    <w:rsid w:val="003E614E"/>
    <w:rsid w:val="003F0C5D"/>
    <w:rsid w:val="003F1B60"/>
    <w:rsid w:val="003F1F8F"/>
    <w:rsid w:val="003F2FC8"/>
    <w:rsid w:val="003F4ED4"/>
    <w:rsid w:val="003F7C4B"/>
    <w:rsid w:val="00413F9E"/>
    <w:rsid w:val="00413FD3"/>
    <w:rsid w:val="004166E9"/>
    <w:rsid w:val="00420865"/>
    <w:rsid w:val="00424360"/>
    <w:rsid w:val="00425513"/>
    <w:rsid w:val="00426EE2"/>
    <w:rsid w:val="00430185"/>
    <w:rsid w:val="00432150"/>
    <w:rsid w:val="00433D17"/>
    <w:rsid w:val="00440D13"/>
    <w:rsid w:val="00444FAB"/>
    <w:rsid w:val="00452E29"/>
    <w:rsid w:val="00453248"/>
    <w:rsid w:val="00457D25"/>
    <w:rsid w:val="00460D75"/>
    <w:rsid w:val="00462996"/>
    <w:rsid w:val="00462BD9"/>
    <w:rsid w:val="00464D4C"/>
    <w:rsid w:val="00471C95"/>
    <w:rsid w:val="004725C1"/>
    <w:rsid w:val="0047525C"/>
    <w:rsid w:val="004754ED"/>
    <w:rsid w:val="00477735"/>
    <w:rsid w:val="0048011D"/>
    <w:rsid w:val="00480E61"/>
    <w:rsid w:val="00485B8B"/>
    <w:rsid w:val="00486323"/>
    <w:rsid w:val="004872EC"/>
    <w:rsid w:val="00487BB7"/>
    <w:rsid w:val="00490E38"/>
    <w:rsid w:val="00494DB2"/>
    <w:rsid w:val="004952EA"/>
    <w:rsid w:val="004953F7"/>
    <w:rsid w:val="004954A7"/>
    <w:rsid w:val="004958C7"/>
    <w:rsid w:val="004B0409"/>
    <w:rsid w:val="004B19FF"/>
    <w:rsid w:val="004B521E"/>
    <w:rsid w:val="004B5C0E"/>
    <w:rsid w:val="004C51C6"/>
    <w:rsid w:val="004D26C4"/>
    <w:rsid w:val="004D3A08"/>
    <w:rsid w:val="004D3B2A"/>
    <w:rsid w:val="004D5AD2"/>
    <w:rsid w:val="004D66B9"/>
    <w:rsid w:val="004E6A6F"/>
    <w:rsid w:val="00500463"/>
    <w:rsid w:val="00503577"/>
    <w:rsid w:val="0050470D"/>
    <w:rsid w:val="005060E8"/>
    <w:rsid w:val="00507D64"/>
    <w:rsid w:val="00511142"/>
    <w:rsid w:val="00513AD3"/>
    <w:rsid w:val="005177E4"/>
    <w:rsid w:val="00520A2E"/>
    <w:rsid w:val="00520AE5"/>
    <w:rsid w:val="00520CDB"/>
    <w:rsid w:val="00524316"/>
    <w:rsid w:val="005332DB"/>
    <w:rsid w:val="005413BF"/>
    <w:rsid w:val="00550BA4"/>
    <w:rsid w:val="00551CDF"/>
    <w:rsid w:val="005530AA"/>
    <w:rsid w:val="005573FD"/>
    <w:rsid w:val="00557CEB"/>
    <w:rsid w:val="0056516C"/>
    <w:rsid w:val="00565807"/>
    <w:rsid w:val="005664AE"/>
    <w:rsid w:val="00567177"/>
    <w:rsid w:val="00567CD1"/>
    <w:rsid w:val="00570A07"/>
    <w:rsid w:val="00570A9A"/>
    <w:rsid w:val="00571F9F"/>
    <w:rsid w:val="00576DE5"/>
    <w:rsid w:val="0058331F"/>
    <w:rsid w:val="00585BA4"/>
    <w:rsid w:val="00586023"/>
    <w:rsid w:val="005875C6"/>
    <w:rsid w:val="00587B50"/>
    <w:rsid w:val="005907F7"/>
    <w:rsid w:val="00591DDA"/>
    <w:rsid w:val="0059635A"/>
    <w:rsid w:val="005A2B8E"/>
    <w:rsid w:val="005A3530"/>
    <w:rsid w:val="005A6147"/>
    <w:rsid w:val="005B38D6"/>
    <w:rsid w:val="005B7358"/>
    <w:rsid w:val="005B781E"/>
    <w:rsid w:val="005C14DE"/>
    <w:rsid w:val="005C29D5"/>
    <w:rsid w:val="005C2A77"/>
    <w:rsid w:val="005D323F"/>
    <w:rsid w:val="005D4BDC"/>
    <w:rsid w:val="005D6612"/>
    <w:rsid w:val="005D723C"/>
    <w:rsid w:val="005E0109"/>
    <w:rsid w:val="005E0207"/>
    <w:rsid w:val="005E7B76"/>
    <w:rsid w:val="005F1B01"/>
    <w:rsid w:val="005F262C"/>
    <w:rsid w:val="005F2ADC"/>
    <w:rsid w:val="005F79CE"/>
    <w:rsid w:val="00601B1B"/>
    <w:rsid w:val="006073C2"/>
    <w:rsid w:val="0061453D"/>
    <w:rsid w:val="0061547F"/>
    <w:rsid w:val="00615A08"/>
    <w:rsid w:val="00620D57"/>
    <w:rsid w:val="00620FA8"/>
    <w:rsid w:val="00621189"/>
    <w:rsid w:val="0062300F"/>
    <w:rsid w:val="00624A12"/>
    <w:rsid w:val="00625D7C"/>
    <w:rsid w:val="0063422E"/>
    <w:rsid w:val="0063496B"/>
    <w:rsid w:val="00641B1C"/>
    <w:rsid w:val="00642036"/>
    <w:rsid w:val="00647258"/>
    <w:rsid w:val="00647CCC"/>
    <w:rsid w:val="00654949"/>
    <w:rsid w:val="00656CD8"/>
    <w:rsid w:val="00660A58"/>
    <w:rsid w:val="006672C9"/>
    <w:rsid w:val="0067269B"/>
    <w:rsid w:val="006835F2"/>
    <w:rsid w:val="006840B6"/>
    <w:rsid w:val="00686B37"/>
    <w:rsid w:val="006874D4"/>
    <w:rsid w:val="00693838"/>
    <w:rsid w:val="00693DB1"/>
    <w:rsid w:val="006947B1"/>
    <w:rsid w:val="00697204"/>
    <w:rsid w:val="006A6075"/>
    <w:rsid w:val="006A7580"/>
    <w:rsid w:val="006B009F"/>
    <w:rsid w:val="006B12E8"/>
    <w:rsid w:val="006B16FF"/>
    <w:rsid w:val="006B2429"/>
    <w:rsid w:val="006B4726"/>
    <w:rsid w:val="006B4734"/>
    <w:rsid w:val="006B5E0F"/>
    <w:rsid w:val="006B6427"/>
    <w:rsid w:val="006C2EB3"/>
    <w:rsid w:val="006D2600"/>
    <w:rsid w:val="006E1522"/>
    <w:rsid w:val="006E4E7C"/>
    <w:rsid w:val="006F1307"/>
    <w:rsid w:val="006F389B"/>
    <w:rsid w:val="006F44C0"/>
    <w:rsid w:val="006F4E2E"/>
    <w:rsid w:val="006F4F67"/>
    <w:rsid w:val="006F756F"/>
    <w:rsid w:val="006F7E10"/>
    <w:rsid w:val="0070029F"/>
    <w:rsid w:val="00703CC7"/>
    <w:rsid w:val="007057B0"/>
    <w:rsid w:val="00707AB3"/>
    <w:rsid w:val="007102F3"/>
    <w:rsid w:val="00710BCC"/>
    <w:rsid w:val="007159B3"/>
    <w:rsid w:val="00715C5D"/>
    <w:rsid w:val="00715C68"/>
    <w:rsid w:val="00720144"/>
    <w:rsid w:val="007229AA"/>
    <w:rsid w:val="00723FEC"/>
    <w:rsid w:val="00725550"/>
    <w:rsid w:val="0072587F"/>
    <w:rsid w:val="00725C99"/>
    <w:rsid w:val="00731DF4"/>
    <w:rsid w:val="00733241"/>
    <w:rsid w:val="0073424E"/>
    <w:rsid w:val="007344F4"/>
    <w:rsid w:val="00735079"/>
    <w:rsid w:val="00735630"/>
    <w:rsid w:val="0073592C"/>
    <w:rsid w:val="00740053"/>
    <w:rsid w:val="007412E6"/>
    <w:rsid w:val="00745ACA"/>
    <w:rsid w:val="007511A7"/>
    <w:rsid w:val="00751857"/>
    <w:rsid w:val="0075442C"/>
    <w:rsid w:val="00755C44"/>
    <w:rsid w:val="0075642B"/>
    <w:rsid w:val="00765A07"/>
    <w:rsid w:val="00765D9C"/>
    <w:rsid w:val="00765DB3"/>
    <w:rsid w:val="00770F08"/>
    <w:rsid w:val="007748DC"/>
    <w:rsid w:val="007755F8"/>
    <w:rsid w:val="007773D2"/>
    <w:rsid w:val="00781664"/>
    <w:rsid w:val="0078262A"/>
    <w:rsid w:val="00783BC9"/>
    <w:rsid w:val="00784E4D"/>
    <w:rsid w:val="0078611C"/>
    <w:rsid w:val="007876D6"/>
    <w:rsid w:val="00792552"/>
    <w:rsid w:val="00796387"/>
    <w:rsid w:val="007969A0"/>
    <w:rsid w:val="007A50E1"/>
    <w:rsid w:val="007B6C98"/>
    <w:rsid w:val="007C2EF8"/>
    <w:rsid w:val="007C3CCE"/>
    <w:rsid w:val="007C461A"/>
    <w:rsid w:val="007C67C5"/>
    <w:rsid w:val="007C6B6F"/>
    <w:rsid w:val="007D0D11"/>
    <w:rsid w:val="007D383A"/>
    <w:rsid w:val="007D4DF1"/>
    <w:rsid w:val="007D58D2"/>
    <w:rsid w:val="007E02BC"/>
    <w:rsid w:val="007E092E"/>
    <w:rsid w:val="007E3407"/>
    <w:rsid w:val="007E54D1"/>
    <w:rsid w:val="007E640E"/>
    <w:rsid w:val="007F005B"/>
    <w:rsid w:val="007F115C"/>
    <w:rsid w:val="007F24B3"/>
    <w:rsid w:val="007F2A13"/>
    <w:rsid w:val="007F3120"/>
    <w:rsid w:val="007F3995"/>
    <w:rsid w:val="007F3FCF"/>
    <w:rsid w:val="007F7CFB"/>
    <w:rsid w:val="0080332D"/>
    <w:rsid w:val="00803625"/>
    <w:rsid w:val="008040D1"/>
    <w:rsid w:val="008048F2"/>
    <w:rsid w:val="008079EF"/>
    <w:rsid w:val="00810859"/>
    <w:rsid w:val="008136F1"/>
    <w:rsid w:val="00816E62"/>
    <w:rsid w:val="00817FA9"/>
    <w:rsid w:val="008237F3"/>
    <w:rsid w:val="00834AE5"/>
    <w:rsid w:val="0083551B"/>
    <w:rsid w:val="00841465"/>
    <w:rsid w:val="00844D8F"/>
    <w:rsid w:val="00845BAA"/>
    <w:rsid w:val="008462C2"/>
    <w:rsid w:val="00846B92"/>
    <w:rsid w:val="0085404F"/>
    <w:rsid w:val="00855A8B"/>
    <w:rsid w:val="00857332"/>
    <w:rsid w:val="008579DB"/>
    <w:rsid w:val="00857DB9"/>
    <w:rsid w:val="00861888"/>
    <w:rsid w:val="00862DD2"/>
    <w:rsid w:val="00863DDD"/>
    <w:rsid w:val="00864540"/>
    <w:rsid w:val="00866A4F"/>
    <w:rsid w:val="0086781E"/>
    <w:rsid w:val="00870705"/>
    <w:rsid w:val="00872EB1"/>
    <w:rsid w:val="008747AF"/>
    <w:rsid w:val="0087675B"/>
    <w:rsid w:val="0088083E"/>
    <w:rsid w:val="008812BA"/>
    <w:rsid w:val="0088565B"/>
    <w:rsid w:val="0088752E"/>
    <w:rsid w:val="00893AB3"/>
    <w:rsid w:val="00893F32"/>
    <w:rsid w:val="0089717C"/>
    <w:rsid w:val="0089723C"/>
    <w:rsid w:val="008A040C"/>
    <w:rsid w:val="008A0D4E"/>
    <w:rsid w:val="008B00FE"/>
    <w:rsid w:val="008B600E"/>
    <w:rsid w:val="008C2254"/>
    <w:rsid w:val="008C3BBC"/>
    <w:rsid w:val="008C653A"/>
    <w:rsid w:val="008C6842"/>
    <w:rsid w:val="008E52C3"/>
    <w:rsid w:val="008E633A"/>
    <w:rsid w:val="008F1482"/>
    <w:rsid w:val="008F17D0"/>
    <w:rsid w:val="008F2F2B"/>
    <w:rsid w:val="008F64F5"/>
    <w:rsid w:val="009016D6"/>
    <w:rsid w:val="00904322"/>
    <w:rsid w:val="00910C10"/>
    <w:rsid w:val="00912AC2"/>
    <w:rsid w:val="00913030"/>
    <w:rsid w:val="00914581"/>
    <w:rsid w:val="0091483F"/>
    <w:rsid w:val="00916E3C"/>
    <w:rsid w:val="0092467C"/>
    <w:rsid w:val="009247AC"/>
    <w:rsid w:val="009254D5"/>
    <w:rsid w:val="00931A82"/>
    <w:rsid w:val="00931EF0"/>
    <w:rsid w:val="009338E0"/>
    <w:rsid w:val="00934230"/>
    <w:rsid w:val="00937534"/>
    <w:rsid w:val="009407BF"/>
    <w:rsid w:val="00940BC0"/>
    <w:rsid w:val="0094493B"/>
    <w:rsid w:val="00945AF8"/>
    <w:rsid w:val="00945F44"/>
    <w:rsid w:val="00946055"/>
    <w:rsid w:val="009544E4"/>
    <w:rsid w:val="00957414"/>
    <w:rsid w:val="00963860"/>
    <w:rsid w:val="00972C86"/>
    <w:rsid w:val="00974672"/>
    <w:rsid w:val="00976860"/>
    <w:rsid w:val="00976CC6"/>
    <w:rsid w:val="00983306"/>
    <w:rsid w:val="0098647F"/>
    <w:rsid w:val="0099017A"/>
    <w:rsid w:val="00991CC9"/>
    <w:rsid w:val="00993CB4"/>
    <w:rsid w:val="009A0786"/>
    <w:rsid w:val="009A6CE8"/>
    <w:rsid w:val="009B0186"/>
    <w:rsid w:val="009B71CD"/>
    <w:rsid w:val="009C0FC9"/>
    <w:rsid w:val="009C60E9"/>
    <w:rsid w:val="009D0376"/>
    <w:rsid w:val="009D12BF"/>
    <w:rsid w:val="009D2F91"/>
    <w:rsid w:val="009D4472"/>
    <w:rsid w:val="009E1112"/>
    <w:rsid w:val="009E254B"/>
    <w:rsid w:val="009E3F36"/>
    <w:rsid w:val="009E4A2A"/>
    <w:rsid w:val="009F66D6"/>
    <w:rsid w:val="009F7948"/>
    <w:rsid w:val="00A035E1"/>
    <w:rsid w:val="00A035ED"/>
    <w:rsid w:val="00A07CE0"/>
    <w:rsid w:val="00A111B0"/>
    <w:rsid w:val="00A11ADE"/>
    <w:rsid w:val="00A15CF3"/>
    <w:rsid w:val="00A16059"/>
    <w:rsid w:val="00A16808"/>
    <w:rsid w:val="00A16FEC"/>
    <w:rsid w:val="00A216EF"/>
    <w:rsid w:val="00A23224"/>
    <w:rsid w:val="00A24251"/>
    <w:rsid w:val="00A247A7"/>
    <w:rsid w:val="00A3053B"/>
    <w:rsid w:val="00A33807"/>
    <w:rsid w:val="00A43AFE"/>
    <w:rsid w:val="00A47256"/>
    <w:rsid w:val="00A47D02"/>
    <w:rsid w:val="00A53C0B"/>
    <w:rsid w:val="00A54AE9"/>
    <w:rsid w:val="00A5637B"/>
    <w:rsid w:val="00A5784A"/>
    <w:rsid w:val="00A5787E"/>
    <w:rsid w:val="00A6096E"/>
    <w:rsid w:val="00A64CF4"/>
    <w:rsid w:val="00A70868"/>
    <w:rsid w:val="00A745E8"/>
    <w:rsid w:val="00A76C10"/>
    <w:rsid w:val="00A76D26"/>
    <w:rsid w:val="00A86278"/>
    <w:rsid w:val="00A868F0"/>
    <w:rsid w:val="00A86E43"/>
    <w:rsid w:val="00A92059"/>
    <w:rsid w:val="00A97F03"/>
    <w:rsid w:val="00AA29C7"/>
    <w:rsid w:val="00AA66C1"/>
    <w:rsid w:val="00AB191B"/>
    <w:rsid w:val="00AB789D"/>
    <w:rsid w:val="00AC03A3"/>
    <w:rsid w:val="00AC59D0"/>
    <w:rsid w:val="00AC7DAF"/>
    <w:rsid w:val="00AD034C"/>
    <w:rsid w:val="00AD1DBC"/>
    <w:rsid w:val="00AD30F8"/>
    <w:rsid w:val="00AD3BBB"/>
    <w:rsid w:val="00AD4E22"/>
    <w:rsid w:val="00AD65C4"/>
    <w:rsid w:val="00AD69C2"/>
    <w:rsid w:val="00AD6ADD"/>
    <w:rsid w:val="00AE2EAF"/>
    <w:rsid w:val="00AE6208"/>
    <w:rsid w:val="00AE71DC"/>
    <w:rsid w:val="00AF5D50"/>
    <w:rsid w:val="00AF68C7"/>
    <w:rsid w:val="00B01C2E"/>
    <w:rsid w:val="00B073EB"/>
    <w:rsid w:val="00B14532"/>
    <w:rsid w:val="00B15A75"/>
    <w:rsid w:val="00B1751F"/>
    <w:rsid w:val="00B23E55"/>
    <w:rsid w:val="00B255E8"/>
    <w:rsid w:val="00B262E2"/>
    <w:rsid w:val="00B3079F"/>
    <w:rsid w:val="00B36DD7"/>
    <w:rsid w:val="00B40172"/>
    <w:rsid w:val="00B41FE3"/>
    <w:rsid w:val="00B42E0E"/>
    <w:rsid w:val="00B440C7"/>
    <w:rsid w:val="00B4486C"/>
    <w:rsid w:val="00B45F16"/>
    <w:rsid w:val="00B5006E"/>
    <w:rsid w:val="00B509C7"/>
    <w:rsid w:val="00B520D8"/>
    <w:rsid w:val="00B571FC"/>
    <w:rsid w:val="00B572BF"/>
    <w:rsid w:val="00B57961"/>
    <w:rsid w:val="00B6240C"/>
    <w:rsid w:val="00B71E57"/>
    <w:rsid w:val="00B74A99"/>
    <w:rsid w:val="00B75FF5"/>
    <w:rsid w:val="00B83EFC"/>
    <w:rsid w:val="00B87DBC"/>
    <w:rsid w:val="00B9106C"/>
    <w:rsid w:val="00B91B73"/>
    <w:rsid w:val="00B93621"/>
    <w:rsid w:val="00B96936"/>
    <w:rsid w:val="00BA2B06"/>
    <w:rsid w:val="00BA6053"/>
    <w:rsid w:val="00BB2D4F"/>
    <w:rsid w:val="00BB4AC6"/>
    <w:rsid w:val="00BC3159"/>
    <w:rsid w:val="00BD03E2"/>
    <w:rsid w:val="00BD25AE"/>
    <w:rsid w:val="00BD5386"/>
    <w:rsid w:val="00BD61C9"/>
    <w:rsid w:val="00BD6FA8"/>
    <w:rsid w:val="00BE2A79"/>
    <w:rsid w:val="00BE4782"/>
    <w:rsid w:val="00BF0AE7"/>
    <w:rsid w:val="00BF268B"/>
    <w:rsid w:val="00BF3759"/>
    <w:rsid w:val="00BF3B28"/>
    <w:rsid w:val="00BF525E"/>
    <w:rsid w:val="00C00C4C"/>
    <w:rsid w:val="00C02FD5"/>
    <w:rsid w:val="00C03092"/>
    <w:rsid w:val="00C0475C"/>
    <w:rsid w:val="00C04DB3"/>
    <w:rsid w:val="00C059A6"/>
    <w:rsid w:val="00C10F16"/>
    <w:rsid w:val="00C114A0"/>
    <w:rsid w:val="00C11552"/>
    <w:rsid w:val="00C11C62"/>
    <w:rsid w:val="00C126D2"/>
    <w:rsid w:val="00C1448B"/>
    <w:rsid w:val="00C14B6F"/>
    <w:rsid w:val="00C154B7"/>
    <w:rsid w:val="00C168BD"/>
    <w:rsid w:val="00C23252"/>
    <w:rsid w:val="00C26958"/>
    <w:rsid w:val="00C30018"/>
    <w:rsid w:val="00C31E1F"/>
    <w:rsid w:val="00C3296F"/>
    <w:rsid w:val="00C332C4"/>
    <w:rsid w:val="00C352E4"/>
    <w:rsid w:val="00C354D3"/>
    <w:rsid w:val="00C43805"/>
    <w:rsid w:val="00C462F8"/>
    <w:rsid w:val="00C477FA"/>
    <w:rsid w:val="00C546D6"/>
    <w:rsid w:val="00C5726C"/>
    <w:rsid w:val="00C57508"/>
    <w:rsid w:val="00C5774F"/>
    <w:rsid w:val="00C613BA"/>
    <w:rsid w:val="00C61DE2"/>
    <w:rsid w:val="00C640B8"/>
    <w:rsid w:val="00C6419E"/>
    <w:rsid w:val="00C66A08"/>
    <w:rsid w:val="00C67D54"/>
    <w:rsid w:val="00C724DA"/>
    <w:rsid w:val="00C73711"/>
    <w:rsid w:val="00C7642C"/>
    <w:rsid w:val="00C76E7D"/>
    <w:rsid w:val="00C8193C"/>
    <w:rsid w:val="00C82158"/>
    <w:rsid w:val="00C8638E"/>
    <w:rsid w:val="00C930D3"/>
    <w:rsid w:val="00C961A7"/>
    <w:rsid w:val="00C96E32"/>
    <w:rsid w:val="00CA57E3"/>
    <w:rsid w:val="00CB59EF"/>
    <w:rsid w:val="00CC0F7C"/>
    <w:rsid w:val="00CC15A7"/>
    <w:rsid w:val="00CC2956"/>
    <w:rsid w:val="00CC30D3"/>
    <w:rsid w:val="00CD0A2C"/>
    <w:rsid w:val="00CD2950"/>
    <w:rsid w:val="00CD439B"/>
    <w:rsid w:val="00CE24F0"/>
    <w:rsid w:val="00CE32E2"/>
    <w:rsid w:val="00CE3808"/>
    <w:rsid w:val="00CF2D01"/>
    <w:rsid w:val="00CF5285"/>
    <w:rsid w:val="00CF76CD"/>
    <w:rsid w:val="00D018D9"/>
    <w:rsid w:val="00D03A9F"/>
    <w:rsid w:val="00D05356"/>
    <w:rsid w:val="00D055FA"/>
    <w:rsid w:val="00D06682"/>
    <w:rsid w:val="00D11A58"/>
    <w:rsid w:val="00D126C3"/>
    <w:rsid w:val="00D13ACA"/>
    <w:rsid w:val="00D167F3"/>
    <w:rsid w:val="00D1773E"/>
    <w:rsid w:val="00D2204D"/>
    <w:rsid w:val="00D22C0D"/>
    <w:rsid w:val="00D263D1"/>
    <w:rsid w:val="00D26A4D"/>
    <w:rsid w:val="00D2710A"/>
    <w:rsid w:val="00D36C3F"/>
    <w:rsid w:val="00D37726"/>
    <w:rsid w:val="00D44A4D"/>
    <w:rsid w:val="00D463CB"/>
    <w:rsid w:val="00D477DF"/>
    <w:rsid w:val="00D53652"/>
    <w:rsid w:val="00D600A7"/>
    <w:rsid w:val="00D714C0"/>
    <w:rsid w:val="00D773A7"/>
    <w:rsid w:val="00D803BB"/>
    <w:rsid w:val="00D825B1"/>
    <w:rsid w:val="00D867F7"/>
    <w:rsid w:val="00D87312"/>
    <w:rsid w:val="00D90355"/>
    <w:rsid w:val="00D91EB1"/>
    <w:rsid w:val="00D9203A"/>
    <w:rsid w:val="00D93202"/>
    <w:rsid w:val="00D95963"/>
    <w:rsid w:val="00D968CC"/>
    <w:rsid w:val="00DA01FB"/>
    <w:rsid w:val="00DA3206"/>
    <w:rsid w:val="00DA62A5"/>
    <w:rsid w:val="00DA7522"/>
    <w:rsid w:val="00DA7F03"/>
    <w:rsid w:val="00DB3605"/>
    <w:rsid w:val="00DB440C"/>
    <w:rsid w:val="00DB5C0A"/>
    <w:rsid w:val="00DB6E45"/>
    <w:rsid w:val="00DC22B0"/>
    <w:rsid w:val="00DC7CA8"/>
    <w:rsid w:val="00DD0E2F"/>
    <w:rsid w:val="00DD12EF"/>
    <w:rsid w:val="00DD1340"/>
    <w:rsid w:val="00DD38C6"/>
    <w:rsid w:val="00DD6109"/>
    <w:rsid w:val="00DE0682"/>
    <w:rsid w:val="00DE4EB8"/>
    <w:rsid w:val="00DE546B"/>
    <w:rsid w:val="00DE7225"/>
    <w:rsid w:val="00DE7C04"/>
    <w:rsid w:val="00DF0C43"/>
    <w:rsid w:val="00DF152F"/>
    <w:rsid w:val="00DF202D"/>
    <w:rsid w:val="00DF251D"/>
    <w:rsid w:val="00DF3D63"/>
    <w:rsid w:val="00DF6766"/>
    <w:rsid w:val="00E01CE2"/>
    <w:rsid w:val="00E025FC"/>
    <w:rsid w:val="00E13EA0"/>
    <w:rsid w:val="00E15FCC"/>
    <w:rsid w:val="00E23193"/>
    <w:rsid w:val="00E31F15"/>
    <w:rsid w:val="00E35874"/>
    <w:rsid w:val="00E42CB6"/>
    <w:rsid w:val="00E458A5"/>
    <w:rsid w:val="00E4728C"/>
    <w:rsid w:val="00E5219D"/>
    <w:rsid w:val="00E543C2"/>
    <w:rsid w:val="00E54F5B"/>
    <w:rsid w:val="00E56EDA"/>
    <w:rsid w:val="00E63100"/>
    <w:rsid w:val="00E6377A"/>
    <w:rsid w:val="00E65DF5"/>
    <w:rsid w:val="00E66067"/>
    <w:rsid w:val="00E660F4"/>
    <w:rsid w:val="00E7264C"/>
    <w:rsid w:val="00E73169"/>
    <w:rsid w:val="00E7612B"/>
    <w:rsid w:val="00E761AD"/>
    <w:rsid w:val="00E81C1C"/>
    <w:rsid w:val="00E84007"/>
    <w:rsid w:val="00E85FDA"/>
    <w:rsid w:val="00E86F6B"/>
    <w:rsid w:val="00E91D09"/>
    <w:rsid w:val="00E9244E"/>
    <w:rsid w:val="00E96CEA"/>
    <w:rsid w:val="00EA1B41"/>
    <w:rsid w:val="00EA2EDE"/>
    <w:rsid w:val="00EA3100"/>
    <w:rsid w:val="00EA3D61"/>
    <w:rsid w:val="00EB0677"/>
    <w:rsid w:val="00EB24A8"/>
    <w:rsid w:val="00EB3CA6"/>
    <w:rsid w:val="00EB47F4"/>
    <w:rsid w:val="00EB5460"/>
    <w:rsid w:val="00EB6CDA"/>
    <w:rsid w:val="00EC303E"/>
    <w:rsid w:val="00EC51CC"/>
    <w:rsid w:val="00EC6808"/>
    <w:rsid w:val="00ED2E52"/>
    <w:rsid w:val="00ED3EB3"/>
    <w:rsid w:val="00EE0E37"/>
    <w:rsid w:val="00EE1C0C"/>
    <w:rsid w:val="00EE1FB4"/>
    <w:rsid w:val="00EF2BF7"/>
    <w:rsid w:val="00EF6C6B"/>
    <w:rsid w:val="00F000E5"/>
    <w:rsid w:val="00F0787D"/>
    <w:rsid w:val="00F13622"/>
    <w:rsid w:val="00F16268"/>
    <w:rsid w:val="00F20363"/>
    <w:rsid w:val="00F22846"/>
    <w:rsid w:val="00F25EFA"/>
    <w:rsid w:val="00F26090"/>
    <w:rsid w:val="00F26898"/>
    <w:rsid w:val="00F370D9"/>
    <w:rsid w:val="00F41D71"/>
    <w:rsid w:val="00F603D8"/>
    <w:rsid w:val="00F630D7"/>
    <w:rsid w:val="00F6474A"/>
    <w:rsid w:val="00F65450"/>
    <w:rsid w:val="00F670C3"/>
    <w:rsid w:val="00F718CB"/>
    <w:rsid w:val="00F74FF2"/>
    <w:rsid w:val="00F765EA"/>
    <w:rsid w:val="00F7747B"/>
    <w:rsid w:val="00F7781D"/>
    <w:rsid w:val="00F84278"/>
    <w:rsid w:val="00F8465E"/>
    <w:rsid w:val="00F91522"/>
    <w:rsid w:val="00F94698"/>
    <w:rsid w:val="00F97BB8"/>
    <w:rsid w:val="00FA0FBE"/>
    <w:rsid w:val="00FA39FC"/>
    <w:rsid w:val="00FA76CA"/>
    <w:rsid w:val="00FA7D37"/>
    <w:rsid w:val="00FB03DD"/>
    <w:rsid w:val="00FB14A9"/>
    <w:rsid w:val="00FB2869"/>
    <w:rsid w:val="00FB289B"/>
    <w:rsid w:val="00FB4BE6"/>
    <w:rsid w:val="00FB4F46"/>
    <w:rsid w:val="00FC1E31"/>
    <w:rsid w:val="00FC409A"/>
    <w:rsid w:val="00FD1C30"/>
    <w:rsid w:val="00FD21F5"/>
    <w:rsid w:val="00FE5E08"/>
    <w:rsid w:val="00FE6006"/>
    <w:rsid w:val="00FF0646"/>
    <w:rsid w:val="00FF1229"/>
    <w:rsid w:val="00FF1603"/>
    <w:rsid w:val="00FF1E19"/>
    <w:rsid w:val="00FF5A92"/>
    <w:rsid w:val="01D66234"/>
    <w:rsid w:val="074C69FA"/>
    <w:rsid w:val="08CE7D92"/>
    <w:rsid w:val="0C840F18"/>
    <w:rsid w:val="1C337341"/>
    <w:rsid w:val="1ED35CE6"/>
    <w:rsid w:val="1EFA5C43"/>
    <w:rsid w:val="1FBA2C10"/>
    <w:rsid w:val="21AD72E9"/>
    <w:rsid w:val="21BB6A62"/>
    <w:rsid w:val="23C01384"/>
    <w:rsid w:val="26D94183"/>
    <w:rsid w:val="278E5A8B"/>
    <w:rsid w:val="27A77F09"/>
    <w:rsid w:val="2885686B"/>
    <w:rsid w:val="293E6B80"/>
    <w:rsid w:val="2B1415BC"/>
    <w:rsid w:val="2E264129"/>
    <w:rsid w:val="31156B3C"/>
    <w:rsid w:val="3193293D"/>
    <w:rsid w:val="32A95B7E"/>
    <w:rsid w:val="3466095B"/>
    <w:rsid w:val="34A14481"/>
    <w:rsid w:val="35426ED7"/>
    <w:rsid w:val="35CD0890"/>
    <w:rsid w:val="37CF1C23"/>
    <w:rsid w:val="37E6775A"/>
    <w:rsid w:val="38B23B70"/>
    <w:rsid w:val="3C680712"/>
    <w:rsid w:val="3D3C76DC"/>
    <w:rsid w:val="3D4F39AC"/>
    <w:rsid w:val="3DC731FC"/>
    <w:rsid w:val="3F751C73"/>
    <w:rsid w:val="48D45914"/>
    <w:rsid w:val="4A9B0681"/>
    <w:rsid w:val="50A93D90"/>
    <w:rsid w:val="50EE1C56"/>
    <w:rsid w:val="522B72FD"/>
    <w:rsid w:val="5596167E"/>
    <w:rsid w:val="55B24DAF"/>
    <w:rsid w:val="59771F1D"/>
    <w:rsid w:val="5C1D5CFF"/>
    <w:rsid w:val="68522F5F"/>
    <w:rsid w:val="6CF84980"/>
    <w:rsid w:val="70492DF2"/>
    <w:rsid w:val="720D1E89"/>
    <w:rsid w:val="731C7E47"/>
    <w:rsid w:val="746F138A"/>
    <w:rsid w:val="76933BE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ocked="1"/>
    <w:lsdException w:qFormat="1" w:unhideWhenUsed="0" w:uiPriority="39" w:semiHidden="0" w:name="toc 2" w:locked="1"/>
    <w:lsdException w:qFormat="1" w:unhideWhenUsed="0" w:uiPriority="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ocked="1"/>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 w:cs="Times New Roman"/>
      <w:kern w:val="2"/>
      <w:sz w:val="32"/>
      <w:szCs w:val="32"/>
      <w:lang w:val="en-US" w:eastAsia="zh-CN" w:bidi="ar-SA"/>
    </w:rPr>
  </w:style>
  <w:style w:type="paragraph" w:styleId="2">
    <w:name w:val="heading 1"/>
    <w:basedOn w:val="1"/>
    <w:next w:val="1"/>
    <w:link w:val="26"/>
    <w:qFormat/>
    <w:locked/>
    <w:uiPriority w:val="0"/>
    <w:pPr>
      <w:keepNext/>
      <w:keepLines/>
      <w:spacing w:before="340" w:after="330" w:line="578" w:lineRule="auto"/>
      <w:outlineLvl w:val="0"/>
    </w:pPr>
    <w:rPr>
      <w:rFonts w:eastAsia="宋体"/>
      <w:b/>
      <w:bCs/>
      <w:kern w:val="44"/>
      <w:sz w:val="44"/>
      <w:szCs w:val="44"/>
    </w:rPr>
  </w:style>
  <w:style w:type="paragraph" w:styleId="3">
    <w:name w:val="heading 2"/>
    <w:basedOn w:val="1"/>
    <w:next w:val="1"/>
    <w:link w:val="28"/>
    <w:qFormat/>
    <w:locked/>
    <w:uiPriority w:val="0"/>
    <w:pPr>
      <w:keepNext/>
      <w:keepLines/>
      <w:spacing w:before="260" w:after="260" w:line="416" w:lineRule="auto"/>
      <w:outlineLvl w:val="1"/>
    </w:pPr>
    <w:rPr>
      <w:rFonts w:ascii="Cambria" w:hAnsi="Cambria" w:eastAsia="宋体" w:cs="Cambria"/>
      <w:b/>
      <w:bCs/>
    </w:rPr>
  </w:style>
  <w:style w:type="paragraph" w:styleId="4">
    <w:name w:val="heading 3"/>
    <w:basedOn w:val="1"/>
    <w:next w:val="1"/>
    <w:link w:val="29"/>
    <w:qFormat/>
    <w:locked/>
    <w:uiPriority w:val="0"/>
    <w:pPr>
      <w:keepNext/>
      <w:keepLines/>
      <w:spacing w:before="260" w:after="260" w:line="416" w:lineRule="auto"/>
      <w:outlineLvl w:val="2"/>
    </w:pPr>
    <w:rPr>
      <w:rFonts w:eastAsia="宋体"/>
      <w:b/>
      <w:bCs/>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link w:val="43"/>
    <w:semiHidden/>
    <w:qFormat/>
    <w:uiPriority w:val="0"/>
    <w:pPr>
      <w:jc w:val="left"/>
    </w:pPr>
    <w:rPr>
      <w:rFonts w:eastAsia="宋体"/>
      <w:sz w:val="21"/>
      <w:szCs w:val="21"/>
    </w:rPr>
  </w:style>
  <w:style w:type="paragraph" w:styleId="7">
    <w:name w:val="Body Text"/>
    <w:basedOn w:val="1"/>
    <w:link w:val="38"/>
    <w:qFormat/>
    <w:uiPriority w:val="0"/>
    <w:pPr>
      <w:spacing w:after="120"/>
    </w:pPr>
  </w:style>
  <w:style w:type="paragraph" w:styleId="8">
    <w:name w:val="Body Text Indent"/>
    <w:basedOn w:val="1"/>
    <w:qFormat/>
    <w:uiPriority w:val="0"/>
    <w:pPr>
      <w:spacing w:after="120"/>
      <w:ind w:left="420" w:leftChars="200"/>
    </w:pPr>
  </w:style>
  <w:style w:type="paragraph" w:styleId="9">
    <w:name w:val="toc 3"/>
    <w:basedOn w:val="1"/>
    <w:next w:val="1"/>
    <w:semiHidden/>
    <w:qFormat/>
    <w:locked/>
    <w:uiPriority w:val="0"/>
    <w:pPr>
      <w:tabs>
        <w:tab w:val="right" w:leader="dot" w:pos="8296"/>
      </w:tabs>
      <w:ind w:left="840" w:leftChars="400"/>
    </w:pPr>
    <w:rPr>
      <w:rFonts w:eastAsia="宋体"/>
      <w:sz w:val="21"/>
      <w:szCs w:val="21"/>
    </w:rPr>
  </w:style>
  <w:style w:type="paragraph" w:styleId="10">
    <w:name w:val="Date"/>
    <w:basedOn w:val="1"/>
    <w:next w:val="1"/>
    <w:link w:val="30"/>
    <w:qFormat/>
    <w:uiPriority w:val="0"/>
    <w:pPr>
      <w:ind w:left="100" w:leftChars="2500"/>
    </w:pPr>
    <w:rPr>
      <w:rFonts w:ascii="仿宋_GB2312" w:eastAsia="仿宋_GB2312"/>
      <w:sz w:val="30"/>
    </w:rPr>
  </w:style>
  <w:style w:type="paragraph" w:styleId="11">
    <w:name w:val="Balloon Text"/>
    <w:basedOn w:val="1"/>
    <w:link w:val="42"/>
    <w:semiHidden/>
    <w:qFormat/>
    <w:uiPriority w:val="0"/>
    <w:rPr>
      <w:rFonts w:eastAsia="宋体"/>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32"/>
    <w:semiHidden/>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locked/>
    <w:uiPriority w:val="39"/>
    <w:pPr>
      <w:tabs>
        <w:tab w:val="right" w:leader="dot" w:pos="8296"/>
      </w:tabs>
      <w:spacing w:before="93"/>
      <w:jc w:val="center"/>
    </w:pPr>
    <w:rPr>
      <w:rFonts w:eastAsia="方正黑体_GBK"/>
      <w:bCs/>
      <w:color w:val="000000"/>
      <w:sz w:val="28"/>
      <w:szCs w:val="28"/>
    </w:rPr>
  </w:style>
  <w:style w:type="paragraph" w:styleId="15">
    <w:name w:val="Body Text Indent 3"/>
    <w:basedOn w:val="1"/>
    <w:qFormat/>
    <w:uiPriority w:val="0"/>
    <w:pPr>
      <w:ind w:firstLine="632" w:firstLineChars="200"/>
    </w:pPr>
    <w:rPr>
      <w:rFonts w:ascii="仿宋_GB2312" w:eastAsia="仿宋_GB2312"/>
      <w:u w:val="single"/>
    </w:rPr>
  </w:style>
  <w:style w:type="paragraph" w:styleId="16">
    <w:name w:val="toc 2"/>
    <w:basedOn w:val="1"/>
    <w:next w:val="1"/>
    <w:qFormat/>
    <w:locked/>
    <w:uiPriority w:val="39"/>
    <w:pPr>
      <w:tabs>
        <w:tab w:val="right" w:leader="dot" w:pos="8296"/>
      </w:tabs>
      <w:ind w:left="420" w:leftChars="200"/>
    </w:pPr>
    <w:rPr>
      <w:rFonts w:eastAsia="宋体"/>
      <w:sz w:val="21"/>
      <w:szCs w:val="21"/>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6"/>
    <w:next w:val="6"/>
    <w:link w:val="44"/>
    <w:semiHidden/>
    <w:qFormat/>
    <w:uiPriority w:val="0"/>
    <w:rPr>
      <w:b/>
      <w:bCs/>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locked/>
    <w:uiPriority w:val="0"/>
    <w:rPr>
      <w:rFonts w:cs="Times New Roman"/>
      <w:b/>
      <w:bCs/>
    </w:rPr>
  </w:style>
  <w:style w:type="character" w:styleId="23">
    <w:name w:val="page number"/>
    <w:qFormat/>
    <w:uiPriority w:val="0"/>
    <w:rPr>
      <w:rFonts w:cs="Times New Roman"/>
    </w:rPr>
  </w:style>
  <w:style w:type="character" w:styleId="24">
    <w:name w:val="Hyperlink"/>
    <w:qFormat/>
    <w:uiPriority w:val="99"/>
    <w:rPr>
      <w:rFonts w:cs="Times New Roman"/>
      <w:color w:val="0000FF"/>
      <w:u w:val="single"/>
    </w:rPr>
  </w:style>
  <w:style w:type="character" w:styleId="25">
    <w:name w:val="annotation reference"/>
    <w:qFormat/>
    <w:uiPriority w:val="0"/>
    <w:rPr>
      <w:sz w:val="21"/>
      <w:szCs w:val="21"/>
    </w:rPr>
  </w:style>
  <w:style w:type="character" w:customStyle="1" w:styleId="26">
    <w:name w:val="标题 1 Char"/>
    <w:link w:val="2"/>
    <w:qFormat/>
    <w:locked/>
    <w:uiPriority w:val="0"/>
    <w:rPr>
      <w:rFonts w:eastAsia="宋体"/>
      <w:b/>
      <w:bCs/>
      <w:kern w:val="44"/>
      <w:sz w:val="44"/>
      <w:szCs w:val="44"/>
      <w:lang w:val="en-US" w:eastAsia="zh-CN" w:bidi="ar-SA"/>
    </w:rPr>
  </w:style>
  <w:style w:type="paragraph" w:customStyle="1" w:styleId="27">
    <w:name w:val="_Style 7"/>
    <w:basedOn w:val="1"/>
    <w:qFormat/>
    <w:uiPriority w:val="0"/>
    <w:pPr>
      <w:widowControl/>
      <w:snapToGrid w:val="0"/>
      <w:spacing w:line="240" w:lineRule="exact"/>
      <w:jc w:val="left"/>
    </w:pPr>
    <w:rPr>
      <w:rFonts w:ascii="Verdana" w:hAnsi="Verdana" w:eastAsia="宋体"/>
      <w:kern w:val="0"/>
      <w:sz w:val="20"/>
      <w:szCs w:val="20"/>
      <w:lang w:eastAsia="en-US"/>
    </w:rPr>
  </w:style>
  <w:style w:type="character" w:customStyle="1" w:styleId="28">
    <w:name w:val="标题 2 Char"/>
    <w:link w:val="3"/>
    <w:qFormat/>
    <w:locked/>
    <w:uiPriority w:val="0"/>
    <w:rPr>
      <w:rFonts w:ascii="Cambria" w:hAnsi="Cambria" w:eastAsia="宋体" w:cs="Cambria"/>
      <w:b/>
      <w:bCs/>
      <w:kern w:val="2"/>
      <w:sz w:val="32"/>
      <w:szCs w:val="32"/>
      <w:lang w:val="en-US" w:eastAsia="zh-CN" w:bidi="ar-SA"/>
    </w:rPr>
  </w:style>
  <w:style w:type="character" w:customStyle="1" w:styleId="29">
    <w:name w:val="标题 3 Char"/>
    <w:link w:val="4"/>
    <w:qFormat/>
    <w:locked/>
    <w:uiPriority w:val="0"/>
    <w:rPr>
      <w:rFonts w:eastAsia="宋体"/>
      <w:b/>
      <w:bCs/>
      <w:kern w:val="2"/>
      <w:sz w:val="32"/>
      <w:szCs w:val="32"/>
      <w:lang w:val="en-US" w:eastAsia="zh-CN" w:bidi="ar-SA"/>
    </w:rPr>
  </w:style>
  <w:style w:type="character" w:customStyle="1" w:styleId="30">
    <w:name w:val="日期 Char"/>
    <w:link w:val="10"/>
    <w:qFormat/>
    <w:locked/>
    <w:uiPriority w:val="0"/>
    <w:rPr>
      <w:rFonts w:ascii="仿宋_GB2312" w:hAnsi="Times New Roman" w:eastAsia="仿宋_GB2312" w:cs="Times New Roman"/>
      <w:sz w:val="32"/>
      <w:szCs w:val="32"/>
    </w:rPr>
  </w:style>
  <w:style w:type="character" w:customStyle="1" w:styleId="31">
    <w:name w:val="页脚 Char"/>
    <w:link w:val="12"/>
    <w:qFormat/>
    <w:locked/>
    <w:uiPriority w:val="0"/>
    <w:rPr>
      <w:rFonts w:ascii="Times New Roman" w:hAnsi="Times New Roman" w:eastAsia="方正仿宋" w:cs="Times New Roman"/>
      <w:sz w:val="18"/>
      <w:szCs w:val="18"/>
    </w:rPr>
  </w:style>
  <w:style w:type="character" w:customStyle="1" w:styleId="32">
    <w:name w:val="页眉 Char"/>
    <w:link w:val="13"/>
    <w:semiHidden/>
    <w:qFormat/>
    <w:locked/>
    <w:uiPriority w:val="0"/>
    <w:rPr>
      <w:rFonts w:ascii="Times New Roman" w:hAnsi="Times New Roman" w:eastAsia="方正仿宋" w:cs="Times New Roman"/>
      <w:sz w:val="18"/>
      <w:szCs w:val="18"/>
    </w:rPr>
  </w:style>
  <w:style w:type="paragraph" w:styleId="33">
    <w:name w:val="List Paragraph"/>
    <w:basedOn w:val="1"/>
    <w:qFormat/>
    <w:uiPriority w:val="0"/>
    <w:pPr>
      <w:ind w:firstLine="420" w:firstLineChars="200"/>
    </w:pPr>
    <w:rPr>
      <w:rFonts w:ascii="Calibri" w:hAnsi="Calibri" w:eastAsia="宋体"/>
      <w:sz w:val="21"/>
      <w:szCs w:val="22"/>
    </w:rPr>
  </w:style>
  <w:style w:type="paragraph" w:customStyle="1" w:styleId="34">
    <w:name w:val="列出段落1"/>
    <w:basedOn w:val="1"/>
    <w:qFormat/>
    <w:uiPriority w:val="0"/>
    <w:pPr>
      <w:ind w:firstLine="420" w:firstLineChars="200"/>
    </w:pPr>
    <w:rPr>
      <w:rFonts w:eastAsia="仿宋_GB2312"/>
    </w:rPr>
  </w:style>
  <w:style w:type="paragraph" w:customStyle="1" w:styleId="35">
    <w:name w:val="列出段落11"/>
    <w:basedOn w:val="1"/>
    <w:qFormat/>
    <w:uiPriority w:val="0"/>
    <w:pPr>
      <w:ind w:firstLine="420" w:firstLineChars="200"/>
    </w:pPr>
    <w:rPr>
      <w:rFonts w:eastAsia="宋体"/>
      <w:sz w:val="21"/>
      <w:szCs w:val="21"/>
    </w:rPr>
  </w:style>
  <w:style w:type="character" w:customStyle="1" w:styleId="36">
    <w:name w:val="Char Char2"/>
    <w:qFormat/>
    <w:uiPriority w:val="0"/>
    <w:rPr>
      <w:rFonts w:ascii="仿宋_GB2312" w:hAnsi="Times New Roman" w:eastAsia="仿宋_GB2312" w:cs="Times New Roman"/>
      <w:sz w:val="30"/>
      <w:szCs w:val="32"/>
    </w:rPr>
  </w:style>
  <w:style w:type="character" w:customStyle="1" w:styleId="37">
    <w:name w:val="Char Char4"/>
    <w:qFormat/>
    <w:locked/>
    <w:uiPriority w:val="0"/>
    <w:rPr>
      <w:rFonts w:eastAsia="宋体"/>
      <w:kern w:val="2"/>
      <w:sz w:val="18"/>
      <w:szCs w:val="18"/>
      <w:lang w:val="en-US" w:eastAsia="zh-CN"/>
    </w:rPr>
  </w:style>
  <w:style w:type="character" w:customStyle="1" w:styleId="38">
    <w:name w:val="正文文本 Char"/>
    <w:link w:val="7"/>
    <w:qFormat/>
    <w:locked/>
    <w:uiPriority w:val="0"/>
    <w:rPr>
      <w:rFonts w:eastAsia="方正仿宋"/>
      <w:kern w:val="2"/>
      <w:sz w:val="32"/>
      <w:szCs w:val="32"/>
      <w:lang w:val="en-US" w:eastAsia="zh-CN" w:bidi="ar-SA"/>
    </w:rPr>
  </w:style>
  <w:style w:type="character" w:customStyle="1" w:styleId="39">
    <w:name w:val="Footer Char1"/>
    <w:qFormat/>
    <w:locked/>
    <w:uiPriority w:val="0"/>
    <w:rPr>
      <w:sz w:val="18"/>
    </w:rPr>
  </w:style>
  <w:style w:type="paragraph" w:customStyle="1" w:styleId="40">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41">
    <w:name w:val="TOC 标题1"/>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character" w:customStyle="1" w:styleId="42">
    <w:name w:val="批注框文本 Char"/>
    <w:link w:val="11"/>
    <w:semiHidden/>
    <w:qFormat/>
    <w:locked/>
    <w:uiPriority w:val="0"/>
    <w:rPr>
      <w:rFonts w:eastAsia="宋体"/>
      <w:kern w:val="2"/>
      <w:sz w:val="18"/>
      <w:szCs w:val="18"/>
      <w:lang w:val="en-US" w:eastAsia="zh-CN" w:bidi="ar-SA"/>
    </w:rPr>
  </w:style>
  <w:style w:type="character" w:customStyle="1" w:styleId="43">
    <w:name w:val="批注文字 Char"/>
    <w:link w:val="6"/>
    <w:semiHidden/>
    <w:qFormat/>
    <w:locked/>
    <w:uiPriority w:val="0"/>
    <w:rPr>
      <w:rFonts w:eastAsia="宋体"/>
      <w:kern w:val="2"/>
      <w:sz w:val="21"/>
      <w:szCs w:val="21"/>
      <w:lang w:val="en-US" w:eastAsia="zh-CN" w:bidi="ar-SA"/>
    </w:rPr>
  </w:style>
  <w:style w:type="character" w:customStyle="1" w:styleId="44">
    <w:name w:val="批注主题 Char"/>
    <w:link w:val="18"/>
    <w:semiHidden/>
    <w:qFormat/>
    <w:locked/>
    <w:uiPriority w:val="0"/>
    <w:rPr>
      <w:rFonts w:eastAsia="宋体"/>
      <w:b/>
      <w:bCs/>
      <w:kern w:val="2"/>
      <w:sz w:val="21"/>
      <w:szCs w:val="21"/>
      <w:lang w:val="en-US" w:eastAsia="zh-CN" w:bidi="ar-SA"/>
    </w:rPr>
  </w:style>
  <w:style w:type="paragraph" w:customStyle="1" w:styleId="45">
    <w:name w:val="Char Char10"/>
    <w:basedOn w:val="1"/>
    <w:qFormat/>
    <w:uiPriority w:val="0"/>
    <w:pPr>
      <w:widowControl/>
      <w:snapToGrid w:val="0"/>
      <w:spacing w:line="240" w:lineRule="exact"/>
      <w:jc w:val="left"/>
    </w:pPr>
    <w:rPr>
      <w:rFonts w:ascii="Verdana" w:hAnsi="Verdana" w:eastAsia="宋体" w:cs="Verdana"/>
      <w:kern w:val="0"/>
      <w:sz w:val="20"/>
      <w:szCs w:val="20"/>
      <w:lang w:eastAsia="en-US"/>
    </w:rPr>
  </w:style>
  <w:style w:type="paragraph" w:customStyle="1" w:styleId="46">
    <w:name w:val="_Style 4"/>
    <w:basedOn w:val="1"/>
    <w:qFormat/>
    <w:uiPriority w:val="0"/>
    <w:pPr>
      <w:widowControl/>
      <w:snapToGrid w:val="0"/>
      <w:spacing w:line="240" w:lineRule="exact"/>
      <w:jc w:val="left"/>
    </w:pPr>
    <w:rPr>
      <w:rFonts w:ascii="Verdana" w:hAnsi="Verdana" w:eastAsia="宋体"/>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image" Target="media/image2.jpeg"/><Relationship Id="rId12" Type="http://schemas.openxmlformats.org/officeDocument/2006/relationships/image" Target="media/image1.emf"/><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600" b="1">
                <a:solidFill>
                  <a:sysClr val="windowText" lastClr="000000"/>
                </a:solidFill>
              </a:rPr>
              <a:t>收、支决算总计变动情况</a:t>
            </a:r>
            <a:r>
              <a:rPr lang="en-US" altLang="zh-CN" sz="2200" b="1">
                <a:solidFill>
                  <a:sysClr val="windowText" lastClr="000000"/>
                </a:solidFill>
              </a:rPr>
              <a:t>  </a:t>
            </a:r>
            <a:r>
              <a:rPr lang="en-US" altLang="zh-CN"/>
              <a:t>       </a:t>
            </a:r>
            <a:endParaRPr lang="en-US" altLang="zh-CN"/>
          </a:p>
          <a:p>
            <a:pPr defTabSz="914400">
              <a:defRPr lang="zh-CN" sz="1400" b="0" i="0" u="none" strike="noStrike" kern="1200" spc="0" baseline="0">
                <a:solidFill>
                  <a:schemeClr val="tx1">
                    <a:lumMod val="65000"/>
                    <a:lumOff val="35000"/>
                  </a:schemeClr>
                </a:solidFill>
                <a:latin typeface="+mn-lt"/>
                <a:ea typeface="+mn-ea"/>
                <a:cs typeface="+mn-cs"/>
              </a:defRPr>
            </a:pPr>
            <a:r>
              <a:rPr altLang="en-US"/>
              <a:t>单位：万元</a:t>
            </a:r>
            <a:endParaRPr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2020年</c:v>
                </c:pt>
                <c:pt idx="1">
                  <c:v>2019年</c:v>
                </c:pt>
              </c:strCache>
            </c:strRef>
          </c:cat>
          <c:val>
            <c:numRef>
              <c:f>Sheet1!$B$2:$B$3</c:f>
              <c:numCache>
                <c:formatCode>General</c:formatCode>
                <c:ptCount val="2"/>
                <c:pt idx="0">
                  <c:v>10687</c:v>
                </c:pt>
                <c:pt idx="1">
                  <c:v>13228.85</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2020年</c:v>
                </c:pt>
                <c:pt idx="1">
                  <c:v>2019年</c:v>
                </c:pt>
              </c:strCache>
            </c:strRef>
          </c:cat>
          <c:val>
            <c:numRef>
              <c:f>Sheet1!$C$2:$C$3</c:f>
              <c:numCache>
                <c:formatCode>General</c:formatCode>
                <c:ptCount val="2"/>
                <c:pt idx="0">
                  <c:v>11788</c:v>
                </c:pt>
                <c:pt idx="1">
                  <c:v>12474.94</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2020年</c:v>
                </c:pt>
                <c:pt idx="1">
                  <c:v>2019年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75"/>
        <c:overlap val="-25"/>
        <c:axId val="662499367"/>
        <c:axId val="930989974"/>
      </c:barChart>
      <c:catAx>
        <c:axId val="66249936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30989974"/>
        <c:crosses val="autoZero"/>
        <c:auto val="1"/>
        <c:lblAlgn val="ctr"/>
        <c:lblOffset val="100"/>
        <c:noMultiLvlLbl val="0"/>
      </c:catAx>
      <c:valAx>
        <c:axId val="93098997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662499367"/>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b="1">
                <a:solidFill>
                  <a:sysClr val="windowText" lastClr="000000"/>
                </a:solidFill>
              </a:rPr>
              <a:t>2020年收入决算结构图</a:t>
            </a:r>
            <a:endParaRPr b="1">
              <a:solidFill>
                <a:sysClr val="windowText" lastClr="000000"/>
              </a:solidFill>
            </a:endParaRPr>
          </a:p>
        </c:rich>
      </c:tx>
      <c:layout/>
      <c:overlay val="0"/>
      <c:spPr>
        <a:noFill/>
        <a:ln>
          <a:noFill/>
        </a:ln>
        <a:effectLst/>
      </c:spPr>
    </c:title>
    <c:autoTitleDeleted val="0"/>
    <c:plotArea>
      <c:layout/>
      <c:pieChart>
        <c:varyColors val="1"/>
        <c:ser>
          <c:idx val="0"/>
          <c:order val="0"/>
          <c:tx>
            <c:strRef>
              <c:f>Sheet1!$B$1</c:f>
              <c:strCache>
                <c:ptCount val="1"/>
                <c:pt idx="0">
                  <c:v>2020年收入决算结构图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786.24, 7.3</a:t>
                    </a:r>
                    <a:r>
                      <a:rPr lang="en-US" altLang="zh-CN"/>
                      <a:t>5</a:t>
                    </a:r>
                    <a:r>
                      <a:t>%</a:t>
                    </a:r>
                  </a:p>
                </c:rich>
              </c:tx>
              <c:dLblPos val="bestFit"/>
              <c:showLegendKey val="0"/>
              <c:showVal val="1"/>
              <c:showCatName val="0"/>
              <c:showSerName val="0"/>
              <c:showPercent val="1"/>
              <c:showBubbleSize val="0"/>
              <c:extLst>
                <c:ext xmlns:c15="http://schemas.microsoft.com/office/drawing/2012/chart" uri="{CE6537A1-D6FC-4f65-9D91-7224C49458BB}"/>
              </c:extLst>
            </c:dLbl>
            <c:dLbl>
              <c:idx val="2"/>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7915.06, 74.0</a:t>
                    </a:r>
                    <a:r>
                      <a:rPr lang="en-US" altLang="zh-CN"/>
                      <a:t>7</a:t>
                    </a:r>
                    <a:r>
                      <a:t>%</a:t>
                    </a:r>
                  </a:p>
                </c:rich>
              </c:tx>
              <c:dLblPos val="bestFit"/>
              <c:showLegendKey val="0"/>
              <c:showVal val="1"/>
              <c:showCatName val="0"/>
              <c:showSerName val="0"/>
              <c:showPercent val="1"/>
              <c:showBubbleSize val="0"/>
              <c:extLst>
                <c:ext xmlns:c15="http://schemas.microsoft.com/office/drawing/2012/chart" uri="{CE6537A1-D6FC-4f65-9D91-7224C49458BB}"/>
              </c:extLst>
            </c:dLbl>
            <c:numFmt formatCode="0.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一般公共预算财政拨款收入</c:v>
                </c:pt>
                <c:pt idx="1">
                  <c:v>政府性基金预算财政拨款收入</c:v>
                </c:pt>
                <c:pt idx="2">
                  <c:v>事业收入</c:v>
                </c:pt>
                <c:pt idx="3">
                  <c:v>其他收入</c:v>
                </c:pt>
              </c:strCache>
            </c:strRef>
          </c:cat>
          <c:val>
            <c:numRef>
              <c:f>Sheet1!$B$2:$B$5</c:f>
              <c:numCache>
                <c:formatCode>General</c:formatCode>
                <c:ptCount val="4"/>
                <c:pt idx="0">
                  <c:v>1188.89</c:v>
                </c:pt>
                <c:pt idx="1">
                  <c:v>786.24</c:v>
                </c:pt>
                <c:pt idx="2">
                  <c:v>7915.06</c:v>
                </c:pt>
                <c:pt idx="3">
                  <c:v>797</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b="1">
                <a:solidFill>
                  <a:sysClr val="windowText" lastClr="000000"/>
                </a:solidFill>
              </a:rPr>
              <a:t>2020年支出决算结构图</a:t>
            </a:r>
            <a:endParaRPr b="1">
              <a:solidFill>
                <a:sysClr val="windowText" lastClr="000000"/>
              </a:solidFill>
            </a:endParaRPr>
          </a:p>
        </c:rich>
      </c:tx>
      <c:layout/>
      <c:overlay val="0"/>
      <c:spPr>
        <a:noFill/>
        <a:ln>
          <a:noFill/>
        </a:ln>
        <a:effectLst/>
      </c:spPr>
    </c:title>
    <c:autoTitleDeleted val="0"/>
    <c:plotArea>
      <c:layout/>
      <c:pieChart>
        <c:varyColors val="1"/>
        <c:ser>
          <c:idx val="0"/>
          <c:order val="0"/>
          <c:tx>
            <c:strRef>
              <c:f>Sheet1!$B$1</c:f>
              <c:strCache>
                <c:ptCount val="1"/>
                <c:pt idx="0">
                  <c:v>2020年支出决算结构图</c:v>
                </c:pt>
              </c:strCache>
            </c:strRef>
          </c:tx>
          <c:spPr>
            <a:solidFill>
              <a:schemeClr val="bg1">
                <a:lumMod val="90000"/>
              </a:schemeClr>
            </a:solidFill>
          </c:spPr>
          <c:explosion val="0"/>
          <c:dPt>
            <c:idx val="0"/>
            <c:bubble3D val="0"/>
            <c:spPr>
              <a:solidFill>
                <a:schemeClr val="accent6">
                  <a:lumMod val="75000"/>
                </a:schemeClr>
              </a:solidFill>
              <a:ln w="19050">
                <a:solidFill>
                  <a:schemeClr val="lt1"/>
                </a:solidFill>
              </a:ln>
              <a:effectLst/>
            </c:spPr>
          </c:dPt>
          <c:dPt>
            <c:idx val="1"/>
            <c:bubble3D val="0"/>
            <c:spPr>
              <a:solidFill>
                <a:schemeClr val="bg1">
                  <a:lumMod val="75000"/>
                </a:schemeClr>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9812.56, 83</a:t>
                    </a:r>
                    <a:r>
                      <a:rPr lang="en-US" altLang="zh-CN"/>
                      <a:t>.24</a:t>
                    </a:r>
                    <a:r>
                      <a:t>%</a:t>
                    </a:r>
                  </a:p>
                </c:rich>
              </c:tx>
              <c:dLblPos val="bestFit"/>
              <c:showLegendKey val="0"/>
              <c:showVal val="1"/>
              <c:showCatName val="0"/>
              <c:showSerName val="0"/>
              <c:showPercent val="1"/>
              <c:showBubbleSize val="0"/>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defTabSz="914400">
                      <a:defRPr lang="zh-CN" sz="900" b="0" i="0" u="none" strike="noStrike" kern="1200" baseline="0">
                        <a:solidFill>
                          <a:schemeClr val="tx1">
                            <a:lumMod val="75000"/>
                            <a:lumOff val="25000"/>
                          </a:schemeClr>
                        </a:solidFill>
                        <a:latin typeface="+mn-lt"/>
                        <a:ea typeface="+mn-ea"/>
                        <a:cs typeface="+mn-cs"/>
                      </a:defRPr>
                    </a:pPr>
                    <a:r>
                      <a:t>1975.13, </a:t>
                    </a:r>
                    <a:r>
                      <a:rPr lang="en-US" altLang="zh-CN"/>
                      <a:t>16.76</a:t>
                    </a:r>
                    <a:r>
                      <a:t>%</a:t>
                    </a:r>
                  </a:p>
                </c:rich>
              </c:tx>
              <c:dLblPos val="bestFit"/>
              <c:showLegendKey val="0"/>
              <c:showVal val="1"/>
              <c:showCatName val="0"/>
              <c:showSerName val="0"/>
              <c:showPercent val="1"/>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9812.56</c:v>
                </c:pt>
                <c:pt idx="1">
                  <c:v>1975.13</c:v>
                </c:pt>
              </c:numCache>
            </c:numRef>
          </c:val>
        </c:ser>
        <c:dLbls>
          <c:showLegendKey val="0"/>
          <c:showVal val="1"/>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500" b="1">
                <a:solidFill>
                  <a:sysClr val="windowText" lastClr="000000"/>
                </a:solidFill>
              </a:rPr>
              <a:t>财政拨款收、支决算总计变动情况</a:t>
            </a:r>
            <a:endParaRPr b="1">
              <a:solidFill>
                <a:sysClr val="windowText" lastClr="000000"/>
              </a:solidFill>
            </a:endParaRPr>
          </a:p>
          <a:p>
            <a:pPr defTabSz="914400">
              <a:defRPr lang="zh-CN" sz="1400" b="0" i="0" u="none" strike="noStrike" kern="1200" spc="0" baseline="0">
                <a:solidFill>
                  <a:schemeClr val="tx1">
                    <a:lumMod val="65000"/>
                    <a:lumOff val="35000"/>
                  </a:schemeClr>
                </a:solidFill>
                <a:latin typeface="+mn-lt"/>
                <a:ea typeface="+mn-ea"/>
                <a:cs typeface="+mn-cs"/>
              </a:defRPr>
            </a:pPr>
            <a:r>
              <a:rPr b="1">
                <a:solidFill>
                  <a:sysClr val="windowText" lastClr="000000"/>
                </a:solidFill>
              </a:rPr>
              <a:t>单位：万元</a:t>
            </a:r>
            <a:endParaRPr b="1">
              <a:solidFill>
                <a:sysClr val="windowText" lastClr="000000"/>
              </a:solidFill>
            </a:endParaRPr>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收入</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2020年</c:v>
                </c:pt>
                <c:pt idx="1">
                  <c:v>2019年</c:v>
                </c:pt>
              </c:strCache>
            </c:strRef>
          </c:cat>
          <c:val>
            <c:numRef>
              <c:f>Sheet1!$B$2:$B$3</c:f>
              <c:numCache>
                <c:formatCode>General</c:formatCode>
                <c:ptCount val="2"/>
                <c:pt idx="0">
                  <c:v>1975.13</c:v>
                </c:pt>
                <c:pt idx="1">
                  <c:v>1079.26</c:v>
                </c:pt>
              </c:numCache>
            </c:numRef>
          </c:val>
        </c:ser>
        <c:ser>
          <c:idx val="1"/>
          <c:order val="1"/>
          <c:tx>
            <c:strRef>
              <c:f>Sheet1!$C$1</c:f>
              <c:strCache>
                <c:ptCount val="1"/>
                <c:pt idx="0">
                  <c:v>支出</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2020年</c:v>
                </c:pt>
                <c:pt idx="1">
                  <c:v>2019年</c:v>
                </c:pt>
              </c:strCache>
            </c:strRef>
          </c:cat>
          <c:val>
            <c:numRef>
              <c:f>Sheet1!$C$2:$C$3</c:f>
              <c:numCache>
                <c:formatCode>General</c:formatCode>
                <c:ptCount val="2"/>
                <c:pt idx="0">
                  <c:v>1975.13</c:v>
                </c:pt>
                <c:pt idx="1">
                  <c:v>1079.26</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2020年</c:v>
                </c:pt>
                <c:pt idx="1">
                  <c:v>2019年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780245927"/>
        <c:axId val="224153876"/>
      </c:barChart>
      <c:catAx>
        <c:axId val="780245927"/>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4153876"/>
        <c:crosses val="autoZero"/>
        <c:auto val="1"/>
        <c:lblAlgn val="ctr"/>
        <c:lblOffset val="100"/>
        <c:noMultiLvlLbl val="0"/>
      </c:catAx>
      <c:valAx>
        <c:axId val="2241538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780245927"/>
        <c:crosses val="autoZero"/>
        <c:crossBetween val="between"/>
      </c:valAx>
      <c:spPr>
        <a:noFill/>
        <a:ln>
          <a:noFill/>
        </a:ln>
        <a:effectLst/>
      </c:spPr>
    </c:plotArea>
    <c:legend>
      <c:legendPos val="b"/>
      <c:legendEntry>
        <c:idx val="2"/>
        <c:delete val="1"/>
      </c:legendEntry>
      <c:layout>
        <c:manualLayout>
          <c:xMode val="edge"/>
          <c:yMode val="edge"/>
          <c:x val="0.282646801051709"/>
          <c:y val="0.920496623829231"/>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sz="1600" b="1">
                <a:solidFill>
                  <a:sysClr val="windowText" lastClr="000000"/>
                </a:solidFill>
              </a:rPr>
              <a:t>一般公共预算财政拨款支出决算变动情况</a:t>
            </a:r>
            <a:endParaRPr sz="1600" b="1">
              <a:solidFill>
                <a:sysClr val="windowText" lastClr="000000"/>
              </a:solidFill>
            </a:endParaRPr>
          </a:p>
          <a:p>
            <a:pPr defTabSz="914400">
              <a:defRPr lang="zh-CN" sz="1400" b="0" i="0" u="none" strike="noStrike" kern="1200" spc="0" baseline="0">
                <a:solidFill>
                  <a:schemeClr val="tx1">
                    <a:lumMod val="65000"/>
                    <a:lumOff val="35000"/>
                  </a:schemeClr>
                </a:solidFill>
                <a:latin typeface="+mn-lt"/>
                <a:ea typeface="+mn-ea"/>
                <a:cs typeface="+mn-cs"/>
              </a:defRPr>
            </a:pPr>
            <a:r>
              <a:t>单位：万元</a:t>
            </a:r>
          </a:p>
        </c:rich>
      </c:tx>
      <c:layout>
        <c:manualLayout>
          <c:xMode val="edge"/>
          <c:yMode val="edge"/>
          <c:x val="0.121294964028777"/>
          <c:y val="0.0235232618923157"/>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一般公共预算财政拨款支出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2020年</c:v>
                </c:pt>
                <c:pt idx="1">
                  <c:v>2019年</c:v>
                </c:pt>
              </c:strCache>
            </c:strRef>
          </c:cat>
          <c:val>
            <c:numRef>
              <c:f>Sheet1!$B$2:$B$3</c:f>
              <c:numCache>
                <c:formatCode>General</c:formatCode>
                <c:ptCount val="2"/>
                <c:pt idx="0">
                  <c:v>1188.9</c:v>
                </c:pt>
                <c:pt idx="1">
                  <c:v>1079.26</c:v>
                </c:pt>
              </c:numCache>
            </c:numRef>
          </c:val>
        </c:ser>
        <c:ser>
          <c:idx val="1"/>
          <c:order val="1"/>
          <c:tx>
            <c:strRef>
              <c:f>Sheet1!#REF!</c:f>
              <c:strCache>
                <c:ptCount val="1"/>
                <c:pt idx="0">
                  <c:v/>
                </c:pt>
              </c:strCache>
            </c:strRef>
          </c:tx>
          <c:spPr>
            <a:solidFill>
              <a:schemeClr val="accent2"/>
            </a:solidFill>
            <a:ln>
              <a:noFill/>
            </a:ln>
            <a:effectLst/>
          </c:spPr>
          <c:invertIfNegative val="0"/>
          <c:dLbls>
            <c:delete val="1"/>
          </c:dLbls>
          <c:cat>
            <c:strRef>
              <c:f>Sheet1!$A$2:$A$3</c:f>
              <c:strCache>
                <c:ptCount val="2"/>
                <c:pt idx="0">
                  <c:v>2020年</c:v>
                </c:pt>
                <c:pt idx="1">
                  <c:v>2019年</c:v>
                </c:pt>
              </c:strCache>
            </c:strRef>
          </c:cat>
          <c:val>
            <c:numRef>
              <c:f>Sheet1!#REF!</c:f>
              <c:numCache>
                <c:formatCode>General</c:formatCode>
                <c:ptCount val="1"/>
                <c:pt idx="0">
                  <c:v>1</c:v>
                </c:pt>
              </c:numCache>
            </c:numRef>
          </c:val>
        </c:ser>
        <c:ser>
          <c:idx val="2"/>
          <c:order val="2"/>
          <c:tx>
            <c:strRef>
              <c:f>Sheet1!#REF!</c:f>
              <c:strCache>
                <c:ptCount val="1"/>
                <c:pt idx="0">
                  <c:v/>
                </c:pt>
              </c:strCache>
            </c:strRef>
          </c:tx>
          <c:spPr>
            <a:solidFill>
              <a:schemeClr val="accent3"/>
            </a:solidFill>
            <a:ln>
              <a:noFill/>
            </a:ln>
            <a:effectLst/>
          </c:spPr>
          <c:invertIfNegative val="0"/>
          <c:dLbls>
            <c:delete val="1"/>
          </c:dLbls>
          <c:cat>
            <c:strRef>
              <c:f>Sheet1!$A$2:$A$3</c:f>
              <c:strCache>
                <c:ptCount val="2"/>
                <c:pt idx="0">
                  <c:v>2020年</c:v>
                </c:pt>
                <c:pt idx="1">
                  <c:v>2019年</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396880694"/>
        <c:axId val="366779479"/>
      </c:barChart>
      <c:catAx>
        <c:axId val="396880694"/>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66779479"/>
        <c:crosses val="autoZero"/>
        <c:auto val="1"/>
        <c:lblAlgn val="ctr"/>
        <c:lblOffset val="100"/>
        <c:noMultiLvlLbl val="0"/>
      </c:catAx>
      <c:valAx>
        <c:axId val="366779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396880694"/>
        <c:crosses val="autoZero"/>
        <c:crossBetween val="between"/>
      </c:valAx>
      <c:spPr>
        <a:noFill/>
        <a:ln>
          <a:noFill/>
        </a:ln>
        <a:effectLst/>
      </c:spPr>
    </c:plotArea>
    <c:legend>
      <c:legendPos val="b"/>
      <c:legendEntry>
        <c:idx val="1"/>
        <c:delete val="1"/>
      </c:legendEntry>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b="1">
                <a:solidFill>
                  <a:sysClr val="windowText" lastClr="000000"/>
                </a:solidFill>
              </a:rPr>
              <a:t>一般公共预算财政拨款支出决算结构</a:t>
            </a:r>
            <a:endParaRPr b="1">
              <a:solidFill>
                <a:sysClr val="windowText" lastClr="000000"/>
              </a:solidFill>
            </a:endParaRPr>
          </a:p>
        </c:rich>
      </c:tx>
      <c:layout/>
      <c:overlay val="0"/>
      <c:spPr>
        <a:noFill/>
        <a:ln>
          <a:noFill/>
        </a:ln>
        <a:effectLst/>
      </c:spPr>
    </c:title>
    <c:autoTitleDeleted val="0"/>
    <c:plotArea>
      <c:layout/>
      <c:pieChart>
        <c:varyColors val="1"/>
        <c:ser>
          <c:idx val="0"/>
          <c:order val="0"/>
          <c:tx>
            <c:strRef>
              <c:f>Sheet1!$B$1</c:f>
              <c:strCache>
                <c:ptCount val="1"/>
                <c:pt idx="0">
                  <c:v>卫生健康支出</c:v>
                </c:pt>
              </c:strCache>
            </c:strRef>
          </c:tx>
          <c:spPr>
            <a:solidFill>
              <a:schemeClr val="accent2"/>
            </a:solidFill>
            <a:ln w="19050">
              <a:noFill/>
            </a:ln>
          </c:spPr>
          <c:explosion val="0"/>
          <c:dPt>
            <c:idx val="0"/>
            <c:bubble3D val="0"/>
            <c:spPr>
              <a:solidFill>
                <a:schemeClr val="accent2"/>
              </a:solidFill>
              <a:ln w="19050">
                <a:no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c:f>
              <c:strCache>
                <c:ptCount val="1"/>
                <c:pt idx="0">
                  <c:v>卫生健康支出</c:v>
                </c:pt>
              </c:strCache>
            </c:strRef>
          </c:cat>
          <c:val>
            <c:numRef>
              <c:f>Sheet1!$B$2</c:f>
              <c:numCache>
                <c:formatCode>General</c:formatCode>
                <c:ptCount val="1"/>
                <c:pt idx="0">
                  <c:v>1188.9</c:v>
                </c:pt>
              </c:numCache>
            </c:numRef>
          </c:val>
        </c:ser>
        <c:dLbls>
          <c:showLegendKey val="0"/>
          <c:showVal val="1"/>
          <c:showCatName val="0"/>
          <c:showSerName val="0"/>
          <c:showPercent val="1"/>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no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23</Pages>
  <Words>6470</Words>
  <Characters>7123</Characters>
  <Lines>63</Lines>
  <Paragraphs>17</Paragraphs>
  <TotalTime>60</TotalTime>
  <ScaleCrop>false</ScaleCrop>
  <LinksUpToDate>false</LinksUpToDate>
  <CharactersWithSpaces>7157</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2021-08-18T02:22:00Z</dcterms:created>
  <dc:creator>微软用户</dc:creator>
  <cp:lastModifiedBy>十七</cp:lastModifiedBy>
  <cp:lastPrinted>2019-09-17T01:45:00Z</cp:lastPrinted>
  <dcterms:modified xsi:type="dcterms:W3CDTF">2022-08-25T03:25:39Z</dcterms:modified>
  <dc:title>成财库〔2014〕14号</dc:title>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F4D9477DEF164688ABC0C5232CE6CC5F</vt:lpwstr>
  </property>
</Properties>
</file>