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32"/>
          <w:szCs w:val="32"/>
          <w:u w:val="single"/>
          <w:vertAlign w:val="baseline"/>
          <w:lang w:val="en-US" w:eastAsia="zh-CN"/>
        </w:rPr>
      </w:pPr>
      <w:r>
        <w:rPr>
          <w:rFonts w:hint="eastAsia"/>
          <w:sz w:val="32"/>
          <w:szCs w:val="32"/>
          <w:vertAlign w:val="baseline"/>
          <w:lang w:val="en-US" w:eastAsia="zh-CN"/>
        </w:rPr>
        <w:t>市场调研项目名称：</w:t>
      </w:r>
      <w:r>
        <w:rPr>
          <w:rFonts w:hint="eastAsia"/>
          <w:sz w:val="32"/>
          <w:szCs w:val="32"/>
          <w:u w:val="single"/>
          <w:vertAlign w:val="baseline"/>
          <w:lang w:val="en-US" w:eastAsia="zh-CN"/>
        </w:rPr>
        <w:t xml:space="preserve">医疗设备调研                     </w:t>
      </w:r>
    </w:p>
    <w:p>
      <w:pPr>
        <w:rPr>
          <w:rFonts w:hint="eastAsia"/>
          <w:sz w:val="32"/>
          <w:szCs w:val="32"/>
          <w:vertAlign w:val="baseline"/>
          <w:lang w:val="en-US" w:eastAsia="zh-CN"/>
        </w:rPr>
      </w:pPr>
      <w:r>
        <w:rPr>
          <w:rFonts w:hint="eastAsia"/>
          <w:sz w:val="32"/>
          <w:szCs w:val="32"/>
          <w:vertAlign w:val="baseline"/>
          <w:lang w:val="en-US" w:eastAsia="zh-CN"/>
        </w:rPr>
        <w:t>调研人：成都儿童专科医院</w:t>
      </w:r>
    </w:p>
    <w:p>
      <w:pPr>
        <w:ind w:firstLine="640" w:firstLineChars="200"/>
        <w:rPr>
          <w:rFonts w:hint="eastAsia"/>
          <w:sz w:val="32"/>
          <w:szCs w:val="32"/>
          <w:vertAlign w:val="baseline"/>
          <w:lang w:val="en-US" w:eastAsia="zh-CN"/>
        </w:rPr>
      </w:pPr>
      <w:r>
        <w:rPr>
          <w:rFonts w:hint="eastAsia"/>
          <w:sz w:val="32"/>
          <w:szCs w:val="32"/>
          <w:vertAlign w:val="baseline"/>
          <w:lang w:val="en-US" w:eastAsia="zh-CN"/>
        </w:rPr>
        <w:t>成都儿童专科医院（调研人）拟对</w:t>
      </w:r>
      <w:r>
        <w:rPr>
          <w:rFonts w:hint="eastAsia"/>
          <w:sz w:val="32"/>
          <w:szCs w:val="32"/>
          <w:u w:val="single"/>
          <w:vertAlign w:val="baseline"/>
          <w:lang w:val="en-US" w:eastAsia="zh-CN"/>
        </w:rPr>
        <w:t>医疗设备</w:t>
      </w:r>
      <w:r>
        <w:rPr>
          <w:rFonts w:hint="eastAsia"/>
          <w:sz w:val="32"/>
          <w:szCs w:val="32"/>
          <w:vertAlign w:val="baseline"/>
          <w:lang w:val="en-US" w:eastAsia="zh-CN"/>
        </w:rPr>
        <w:t>调研，调研采用挂网公开方式进行市场调研，特邀请符合本次调研要求的供应商参加本调研。</w:t>
      </w:r>
    </w:p>
    <w:p>
      <w:pPr>
        <w:numPr>
          <w:ilvl w:val="0"/>
          <w:numId w:val="1"/>
        </w:numPr>
        <w:rPr>
          <w:rFonts w:hint="eastAsia"/>
          <w:sz w:val="32"/>
          <w:szCs w:val="32"/>
          <w:vertAlign w:val="baseline"/>
          <w:lang w:val="en-US" w:eastAsia="zh-CN"/>
        </w:rPr>
      </w:pPr>
      <w:r>
        <w:rPr>
          <w:rFonts w:hint="eastAsia"/>
          <w:sz w:val="32"/>
          <w:szCs w:val="32"/>
          <w:vertAlign w:val="baseline"/>
          <w:lang w:val="en-US" w:eastAsia="zh-CN"/>
        </w:rPr>
        <w:t>参与单位资格要求：</w:t>
      </w:r>
    </w:p>
    <w:p>
      <w:pPr>
        <w:numPr>
          <w:ilvl w:val="0"/>
          <w:numId w:val="2"/>
        </w:numPr>
        <w:rPr>
          <w:rFonts w:hint="eastAsia"/>
          <w:sz w:val="32"/>
          <w:szCs w:val="32"/>
          <w:vertAlign w:val="baseline"/>
          <w:lang w:val="en-US" w:eastAsia="zh-CN"/>
        </w:rPr>
      </w:pPr>
      <w:r>
        <w:rPr>
          <w:rFonts w:hint="eastAsia"/>
          <w:sz w:val="32"/>
          <w:szCs w:val="32"/>
          <w:vertAlign w:val="baseline"/>
          <w:lang w:val="en-US" w:eastAsia="zh-CN"/>
        </w:rPr>
        <w:t>公司营业执照。</w:t>
      </w:r>
    </w:p>
    <w:p>
      <w:pPr>
        <w:numPr>
          <w:ilvl w:val="0"/>
          <w:numId w:val="2"/>
        </w:numPr>
        <w:ind w:left="0" w:leftChars="0" w:firstLine="0" w:firstLineChars="0"/>
        <w:rPr>
          <w:rFonts w:hint="eastAsia"/>
          <w:sz w:val="32"/>
          <w:szCs w:val="32"/>
          <w:vertAlign w:val="baseline"/>
          <w:lang w:val="en-US" w:eastAsia="zh-CN"/>
        </w:rPr>
      </w:pPr>
      <w:r>
        <w:rPr>
          <w:rFonts w:hint="eastAsia"/>
          <w:sz w:val="32"/>
          <w:szCs w:val="32"/>
          <w:vertAlign w:val="baseline"/>
          <w:lang w:val="en-US" w:eastAsia="zh-CN"/>
        </w:rPr>
        <w:t>《医疗器械经营许可证》</w:t>
      </w:r>
    </w:p>
    <w:p>
      <w:pPr>
        <w:numPr>
          <w:ilvl w:val="0"/>
          <w:numId w:val="2"/>
        </w:numPr>
        <w:ind w:left="0" w:leftChars="0" w:firstLine="0" w:firstLineChars="0"/>
        <w:rPr>
          <w:rFonts w:hint="eastAsia"/>
          <w:sz w:val="32"/>
          <w:szCs w:val="32"/>
          <w:vertAlign w:val="baseline"/>
          <w:lang w:val="en-US" w:eastAsia="zh-CN"/>
        </w:rPr>
      </w:pPr>
      <w:r>
        <w:rPr>
          <w:rFonts w:hint="eastAsia"/>
          <w:sz w:val="32"/>
          <w:szCs w:val="32"/>
          <w:vertAlign w:val="baseline"/>
          <w:lang w:val="en-US" w:eastAsia="zh-CN"/>
        </w:rPr>
        <w:t>生产厂家授权</w:t>
      </w:r>
    </w:p>
    <w:p>
      <w:pPr>
        <w:pStyle w:val="2"/>
        <w:numPr>
          <w:ilvl w:val="0"/>
          <w:numId w:val="1"/>
        </w:numPr>
        <w:ind w:left="0" w:leftChars="0" w:firstLine="0" w:firstLineChars="0"/>
        <w:rPr>
          <w:rFonts w:hint="eastAsia"/>
          <w:sz w:val="32"/>
          <w:szCs w:val="32"/>
          <w:vertAlign w:val="baseline"/>
          <w:lang w:val="en-US" w:eastAsia="zh-CN"/>
        </w:rPr>
      </w:pPr>
      <w:r>
        <w:rPr>
          <w:rFonts w:hint="eastAsia"/>
          <w:sz w:val="32"/>
          <w:szCs w:val="32"/>
          <w:vertAlign w:val="baseline"/>
          <w:lang w:val="en-US" w:eastAsia="zh-CN"/>
        </w:rPr>
        <w:t>符合资格要求的单位须提供以下调研材料：</w:t>
      </w:r>
    </w:p>
    <w:p>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公司营业执照复印件</w:t>
      </w:r>
    </w:p>
    <w:p>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《医疗器械经营许可证》</w:t>
      </w:r>
    </w:p>
    <w:p>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制造生产厂家授权书</w:t>
      </w:r>
    </w:p>
    <w:p>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法人身份证复印件（经办为代理人的须提供公司介绍信或法人授权书、授权代表身份证复印件）</w:t>
      </w:r>
    </w:p>
    <w:p>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产品资料（格式自拟）</w:t>
      </w:r>
    </w:p>
    <w:p>
      <w:pPr>
        <w:pStyle w:val="3"/>
        <w:numPr>
          <w:ilvl w:val="0"/>
          <w:numId w:val="3"/>
        </w:numPr>
        <w:ind w:left="0" w:leftChars="0" w:firstLine="0" w:firstLineChars="0"/>
        <w:jc w:val="left"/>
        <w:rPr>
          <w:rFonts w:hint="default"/>
          <w:lang w:val="en-US" w:eastAsia="zh-CN"/>
        </w:rPr>
      </w:pPr>
      <w:r>
        <w:rPr>
          <w:rFonts w:hint="eastAsia"/>
          <w:sz w:val="32"/>
          <w:szCs w:val="32"/>
          <w:vertAlign w:val="baseline"/>
          <w:lang w:val="en-US" w:eastAsia="zh-CN"/>
        </w:rPr>
        <w:t>设备价格（格式自拟）</w:t>
      </w:r>
    </w:p>
    <w:p>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供应商认为需要提供的其他材料</w:t>
      </w:r>
    </w:p>
    <w:p>
      <w:pPr>
        <w:pStyle w:val="2"/>
        <w:numPr>
          <w:ilvl w:val="0"/>
          <w:numId w:val="0"/>
        </w:numPr>
        <w:ind w:firstLine="320" w:firstLineChars="100"/>
        <w:rPr>
          <w:rFonts w:hint="eastAsia"/>
          <w:sz w:val="32"/>
          <w:szCs w:val="32"/>
          <w:vertAlign w:val="baseline"/>
          <w:lang w:val="en-US" w:eastAsia="zh-CN"/>
        </w:rPr>
      </w:pPr>
      <w:r>
        <w:rPr>
          <w:rFonts w:hint="eastAsia"/>
          <w:sz w:val="32"/>
          <w:szCs w:val="32"/>
          <w:vertAlign w:val="baseline"/>
          <w:lang w:val="en-US" w:eastAsia="zh-CN"/>
        </w:rPr>
        <w:t>注：以上所有材料必须加盖公司公章。</w:t>
      </w:r>
    </w:p>
    <w:p>
      <w:pPr>
        <w:pStyle w:val="2"/>
        <w:numPr>
          <w:ilvl w:val="0"/>
          <w:numId w:val="0"/>
        </w:numPr>
        <w:ind w:leftChars="0"/>
        <w:rPr>
          <w:rFonts w:hint="default"/>
          <w:sz w:val="32"/>
          <w:szCs w:val="32"/>
          <w:vertAlign w:val="baseline"/>
          <w:lang w:val="en-US" w:eastAsia="zh-CN"/>
        </w:rPr>
      </w:pPr>
      <w:r>
        <w:rPr>
          <w:rFonts w:hint="eastAsia"/>
          <w:sz w:val="32"/>
          <w:szCs w:val="32"/>
          <w:vertAlign w:val="baseline"/>
          <w:lang w:val="en-US" w:eastAsia="zh-CN"/>
        </w:rPr>
        <w:t>3.挂网公告时间：</w:t>
      </w:r>
      <w:r>
        <w:rPr>
          <w:rFonts w:hint="eastAsia"/>
          <w:sz w:val="32"/>
          <w:szCs w:val="32"/>
          <w:u w:val="single"/>
          <w:vertAlign w:val="baseline"/>
          <w:lang w:val="en-US" w:eastAsia="zh-CN"/>
        </w:rPr>
        <w:t>3</w:t>
      </w:r>
      <w:r>
        <w:rPr>
          <w:rFonts w:hint="eastAsia"/>
          <w:sz w:val="32"/>
          <w:szCs w:val="32"/>
          <w:vertAlign w:val="baseline"/>
          <w:lang w:val="en-US" w:eastAsia="zh-CN"/>
        </w:rPr>
        <w:t>天</w:t>
      </w:r>
    </w:p>
    <w:p>
      <w:pPr>
        <w:rPr>
          <w:rFonts w:hint="default"/>
          <w:sz w:val="32"/>
          <w:szCs w:val="32"/>
          <w:vertAlign w:val="baseline"/>
          <w:lang w:val="en-US" w:eastAsia="zh-CN"/>
        </w:rPr>
      </w:pPr>
      <w:r>
        <w:rPr>
          <w:rFonts w:hint="eastAsia"/>
          <w:sz w:val="32"/>
          <w:szCs w:val="32"/>
          <w:vertAlign w:val="baseline"/>
          <w:lang w:val="en-US" w:eastAsia="zh-CN"/>
        </w:rPr>
        <w:t>调研时间：2024年9月20日下午16:00截止</w:t>
      </w:r>
      <w:bookmarkStart w:id="0" w:name="_GoBack"/>
      <w:bookmarkEnd w:id="0"/>
    </w:p>
    <w:p>
      <w:pPr>
        <w:numPr>
          <w:ilvl w:val="0"/>
          <w:numId w:val="0"/>
        </w:numPr>
        <w:ind w:leftChars="0"/>
        <w:rPr>
          <w:rFonts w:hint="eastAsia"/>
          <w:sz w:val="32"/>
          <w:szCs w:val="32"/>
          <w:vertAlign w:val="baseline"/>
          <w:lang w:val="en-US" w:eastAsia="zh-CN"/>
        </w:rPr>
      </w:pPr>
      <w:r>
        <w:rPr>
          <w:rFonts w:hint="eastAsia"/>
          <w:sz w:val="32"/>
          <w:szCs w:val="32"/>
          <w:vertAlign w:val="baseline"/>
          <w:lang w:val="en-US" w:eastAsia="zh-CN"/>
        </w:rPr>
        <w:t>4.递交调研材料地址：成都市青羊区东胜街8号庄森大夏1401室总务科</w:t>
      </w:r>
    </w:p>
    <w:p>
      <w:pPr>
        <w:rPr>
          <w:rFonts w:hint="eastAsia"/>
          <w:sz w:val="32"/>
          <w:szCs w:val="32"/>
          <w:vertAlign w:val="baseline"/>
          <w:lang w:val="en-US" w:eastAsia="zh-CN"/>
        </w:rPr>
      </w:pPr>
      <w:r>
        <w:rPr>
          <w:rFonts w:hint="eastAsia"/>
          <w:sz w:val="32"/>
          <w:szCs w:val="32"/>
          <w:vertAlign w:val="baseline"/>
          <w:lang w:val="en-US" w:eastAsia="zh-CN"/>
        </w:rPr>
        <w:t>5.递交调研材料方式：现场递交/邮寄递交（前往递交调研材料前请提前电话预约，超过调研截止时间送达参与无效）</w:t>
      </w:r>
    </w:p>
    <w:p>
      <w:pPr>
        <w:rPr>
          <w:rFonts w:hint="eastAsia"/>
          <w:sz w:val="32"/>
          <w:szCs w:val="32"/>
          <w:vertAlign w:val="baseline"/>
          <w:lang w:val="en-US" w:eastAsia="zh-CN"/>
        </w:rPr>
      </w:pPr>
      <w:r>
        <w:rPr>
          <w:rFonts w:hint="eastAsia"/>
          <w:sz w:val="32"/>
          <w:szCs w:val="32"/>
          <w:vertAlign w:val="baseline"/>
          <w:lang w:val="en-US" w:eastAsia="zh-CN"/>
        </w:rPr>
        <w:t>联 系 人：闻老师</w:t>
      </w:r>
    </w:p>
    <w:p>
      <w:pPr>
        <w:rPr>
          <w:rFonts w:hint="eastAsia"/>
          <w:sz w:val="32"/>
          <w:szCs w:val="32"/>
          <w:vertAlign w:val="baseline"/>
          <w:lang w:val="en-US" w:eastAsia="zh-CN"/>
        </w:rPr>
      </w:pPr>
      <w:r>
        <w:rPr>
          <w:rFonts w:hint="eastAsia"/>
          <w:sz w:val="32"/>
          <w:szCs w:val="32"/>
          <w:vertAlign w:val="baseline"/>
          <w:lang w:val="en-US" w:eastAsia="zh-CN"/>
        </w:rPr>
        <w:t>联系电话：028-86513677</w:t>
      </w:r>
    </w:p>
    <w:p>
      <w:pPr>
        <w:pStyle w:val="2"/>
        <w:rPr>
          <w:rFonts w:hint="default"/>
          <w:lang w:val="en-US" w:eastAsia="zh-CN"/>
        </w:rPr>
      </w:pPr>
      <w:r>
        <w:rPr>
          <w:rFonts w:hint="eastAsia"/>
          <w:sz w:val="32"/>
          <w:szCs w:val="32"/>
          <w:vertAlign w:val="baseline"/>
          <w:lang w:val="en-US" w:eastAsia="zh-CN"/>
        </w:rPr>
        <w:t>6.调研人收到参与单位调研材料后组织三人以上调研小组对参与单位资质、产品资料以及提供的其他材料进行咨询了解。</w:t>
      </w: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pPr>
    </w:p>
    <w:p>
      <w:pPr>
        <w:tabs>
          <w:tab w:val="left" w:pos="454"/>
        </w:tabs>
        <w:spacing w:line="360" w:lineRule="auto"/>
        <w:rPr>
          <w:rFonts w:hint="eastAsia"/>
          <w:sz w:val="32"/>
          <w:szCs w:val="32"/>
          <w:vertAlign w:val="baseline"/>
          <w:lang w:val="en-US" w:eastAsia="zh-CN"/>
        </w:rPr>
        <w:sectPr>
          <w:pgSz w:w="11906" w:h="16838"/>
          <w:pgMar w:top="1440" w:right="1800" w:bottom="1440" w:left="1800" w:header="851" w:footer="992" w:gutter="0"/>
          <w:cols w:space="425" w:num="1"/>
          <w:docGrid w:type="lines" w:linePitch="312" w:charSpace="0"/>
        </w:sectPr>
      </w:pPr>
    </w:p>
    <w:tbl>
      <w:tblPr>
        <w:tblStyle w:val="6"/>
        <w:tblpPr w:leftFromText="180" w:rightFromText="180" w:vertAnchor="text" w:horzAnchor="page" w:tblpX="332" w:tblpY="544"/>
        <w:tblOverlap w:val="never"/>
        <w:tblW w:w="173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5"/>
        <w:gridCol w:w="891"/>
        <w:gridCol w:w="495"/>
        <w:gridCol w:w="1050"/>
        <w:gridCol w:w="14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序号</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名称</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设备类别</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急救和转运用呼吸机</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1.气动电控型呼吸机；</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2.主机重量:≤3.5Kg；</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3.具备中英文语音导航和传统声音报警功能，且可选，方便医务人；</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员快速上机操作；</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4.控制模式:时间切换、容量控制、压力控制；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5.屏幕:彩色触摸液晶屏，尺寸≥6.5英寸；</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6.内置电子PEEP 功能，PEEP压力0，3~30cmH-0；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7.呼吸模式:Manua1、IPPV、v-A/C 、 v-SIMV、PCV、P-A/C、P-SIMV、CPAP、CPR通气模式；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8.可升级HFNC高流量氧疗功能，最高可达6OL/Min；</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9.具有一键设置功能，可快速设定幼儿、儿童和成人模式，快速进入抢救状态；</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10.工作压力:2.7 ～6.0bar；</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11.吸呼比:8:1～1:8可调或高于此范围；</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12.潮气量:50mL~ 2200mL；</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13.呼吸频率:0～110bpm；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14.氧浓度可调:40%-100%连续可调；</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15.压力触发:-20cmH0～OcmH2O；</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16.压力上升时间:慢/正常/快三档可调；</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17.压力支持:0，3cmH2O~～35cmH2O；</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18.平台时间:0-80%；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19.吸气压力:5-60cmH20，连续可调；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排痰仪</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1、适用范围：用于胸腔外部处置时进行气道清除排痰治疗，适用于分泌物排出困难或由粘液阻塞引起的肺膨胀不全患者，同时促进气道清除排痰或改善支气管引流。</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2、主要构成：由主机（内置气动脉冲发生器）、导气软管、充气背心和手控器组成。</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3、结构形式：便携式兼备台式功能（可装配撑杆座）。</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4、显示方式：彩色液晶界面显示方式。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5、按键方式：一键飞梭的操作方式，所有功能的调节仅需通过对一个键施以旋转及按压动作即可全部完成，必需提供专利证书佐证。</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6、导气方式：采用二根导气软管同步向充气背心充、放气。软管长度120～200cm，管内直径25～35cm。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7、能装卸的全胸充气背心：背心由外套及气囊两部分组成，可以拆卸（必需提供专利证书佐证）</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外套可按普通衣物的方式随时清洗，背心胸围尺寸43～175cm。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8、压力范围：0.5kpa～3.2kpa，分10档可调，步距增量0.3kpa。</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9、振动频率：5Hz～30Hz，连续可调，歩距增量1Hz。</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10、手动模式：治疗中压力及频率可随时调节。</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自动模式：按体型不同而分级定制，共有5种自动程序模式，压力及频率是固定值、不可调。5种模式为：(6Hz-7Hz-8Hz-7Hz)、(7Hz-8Hz-10Hz-8Hz)、(8Hz-10Hz-12Hz-9Hz)、(9Hz-11Hz-13Hz-10Hz)、(10Hz-13Hz-15Hz-11Hz)，设备可按照选定的阶梯模式运行。</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12、自定义模式：治疗前设定各时段的压力及频率，治疗中不可调。</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13、定时时间：自动模式、自定义模式分为5min、10min、15min和20min四档。</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手动模式1min～99min连续可调，歩距1min</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14、设备标配的手控触发器有“加压”、 “启动”、“停止”三项功能,必要时可利用手控器进行快速停机。</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15、CMD颁发的、针对本产品的ISO13485:2016和ISO9001:2015《质量管理体系认证证书》</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16、提供具有自主知识产权的软件著作权（含：计算机软件著作权登记证书、软件产品登记证书）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一氧化氮检测仪</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1.适用范围：用于检测呼出气中NO的体积分率浓度。临床研究模式可选配硫化氢分析模块，定量检测分析呼出气中H2S（硫化氢）的体积分率浓度。</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2.采样方式：在线、离线和潮气三种采样方式。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3.智能化呼气采样。在线测试引入了智能化，代替人工专业指导，呼吸困难人群均能成功呼气采样。</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4.离线采样器具备压力与流量控制模块，患者可多次呼气采集气体。</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5.潮气采样器具备吸气过滤装置，不仅操作便捷，而且可以有效的过滤空气中的污染。</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6.检测需要的有效分析气体量：30 毫升。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7.呼气流速。口呼气流速50±10%ml/s、200±10%ml/s、鼻呼气流速 10ml/s，可分段测试支气管、肺泡及鼻腔NO浓度。</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8.仪器具备联检功能，可检测指标：FeNO50、FeNO200、FnNO、</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大小气道联检（FeNO50+FeNO200+CaNO）、上下气道联检（FeNO+FnNO）；</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9.采样过滤：吸入过滤器含高锰酸钾/活性炭/N99纤维层，可过滤NO等有害气体与细菌病毒等微生物，严防交叉感染；呼出过滤器含N99纤维层与湿化层，严防细菌病毒等微生物进入体内。</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10.仪器系统可与医院HIS等系统数据互联。</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11.仪器配备电脑PC测试软件，可自动生成报告并可查询调用历史数据及报告。</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12.仪器配套使用的一氧化氮检测器应具有单独的二类医疗器械注册证(《医疗器械分类目录》2017年食药监总局 第143号）。</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13.配套过滤嘴:</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（1）口罩式专利技术，避免滤嘴表面带有细菌病毒含入口中的风险，须提供专利号CN201830462183.8；</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（2）过滤棉超声焊接在滤嘴内，密封性更优。</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（3）过滤效果：1）细菌过滤效果：过滤效率≥99.9%，须提供第三方检验报告；</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2）病毒过滤效果：过滤效率 ≥99.99%，须提供第三方检验报报告。</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性能指标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1.测试范围：NO：0ppb－3000ppb；H2S：0-1000ppb（选配时）；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2.准确性（与标准配气的比较）：呼气NO: 当测定值＜50ppb，误差＜±3ppb；当测定值≥50ppb，误差＜±10%；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呼气H2S（选配时）: ±3ppb或10%，两者取较大值。</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 干扰气体：16种常见呼气分子（包含NO2）干扰程度＜3ppb。</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4.重复性：相对偏差CV应在10％内；</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5.稳定性：测量间隔在2小时内的相对漂移即浓度变化率在±10%内；</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6.仪器寿命：5年或50000次检测。</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质量控制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1.仪器自动监控并提示测试状态（包括吸气、呼气流速、压力与时间）和分析过程，确保采样和分析的准确性与重复性。</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2.仪器除了可通过标准气和呼出气检验校准外，具备自标定专利技术，可以按模拟的人体呼出气进行校准，保证仪器的质控需求。</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3.产品生产厂家具有制备标准气的能力并定期免费提供具有配气资质的一氧化氮标准气。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胃肠电图</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1、应用范围:可对胃节律紊乱综合症,胃动过速,胃动过缓,胃轻瘫,胃功能性消化不良、胃动力不足、肠易激综合征等功能性疾病作出准确诊断,对胃炎,胃溃疡等器质性病变提供临床参考。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 系统分析功能：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 临床检查报告分析功能：波形平均幅值；   波形平均频率；  胃肠电节律紊乱百分比；  波形反应面积；  导联时间差（传导速率） 波形主频率；  主功率比；  正常慢波百分比；  慢波频率不稳定系数；  偶联百分比；  餐后/餐前功率比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 胃肠电二维功率谱分析功能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 胃肠电三维功率谱分析功能：（打印三维图谱报告，可加收动态收费）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其参数有：正常频率百分比；过缓频率百分比；过速频率百分比；主功率比；主频率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 波形数据分析功能（时域分析）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其参数有：正常幅值百分比；过缓幅值百分比；过速幅值百分比；胃肠电节律紊乱百分比；平均反应面积；与第一通道导联时间差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 特殊功能：波形幅植及频率即时计算功能；干扰波形裁减功能；图文粘贴功能；标记制作功能；波形放大及缩小功能；频带设置功能；三维时段主频率显示功能；三维时段选择功能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3.1通道数：≥8通道（胃肠同步）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3.2输入阻抗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3.3灵敏度 ：输入端输入幅值30μV,频率为0.05Hz的正弦波信号,其输出读数应为30±1.5μV。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3.4精确度：输入端输入幅值150μV,频率为0.05Hz的正弦波信号,其输出读数应为150±7.5μV。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3.5噪声：输入端对地短路，在计算机上显示的幅值读数应小于3μVP－P</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3.6.频带：胃电   0.025 HZ～0.067HZ;  肠电   0.025HZ～0.33HZ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3.7抗干扰能力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a.对工作频率0.05Hz的干扰  CMRR≥70dB;  b.道间干扰  CMRR≥50dB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胃动力治疗仪</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4B0F1"/>
                <w:sz w:val="22"/>
                <w:szCs w:val="22"/>
                <w:u w:val="none"/>
              </w:rPr>
            </w:pPr>
            <w:r>
              <w:rPr>
                <w:rFonts w:hint="eastAsia" w:ascii="宋体" w:hAnsi="宋体" w:eastAsia="宋体" w:cs="宋体"/>
                <w:i w:val="0"/>
                <w:iCs w:val="0"/>
                <w:color w:val="04B0F1"/>
                <w:kern w:val="0"/>
                <w:sz w:val="22"/>
                <w:szCs w:val="22"/>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（1）工作原理：采用频率合成技术合成产生健康人胃肠电治疗波形，设计成胃肠双路起搏信号输出，可分别对胃、肠起搏点进行起搏治疗或同步治疗。</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（2）输出可调频率范围：胃起搏：0.05HZ 即3次/分（cpm）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肠起博： 0.2HZ即 12次/分（cpm）。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（3）输入功率：≤ 15 W</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（4）输出电压：峰值0V-45V连续可调</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（5）最大输出电流≤45mA</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（6）脉冲宽度0.1ms  ± 0.05ms</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（7）显示屏显示治疗时间、工作模式、治疗强度</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（8）治疗定时时间：15-60分钟/次可调</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（9）适用于以下疾病的治疗：胃肠节律紊乱综合症、伴功能紊乱的浅表性胃炎、功能性消化不良、胃轻瘫、胃下垂、术后肠功能紊乱、肠易激综合症、习惯性便秘、其它功能性胃肠道疾病或术后综合症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（10）电极片体表使用，无创伤，无副作用，能够保证治疗时间达60分钟以上，且根据临床可重复使用（病人使用前体表需消毒）。</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(11)电 源: DC 5V, AC 220V ± 10% ,50Hz</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电子胃肠镜</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 xml:space="preserve">一、医用内窥镜图像处理器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数量：1台</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1、4K内镜图像：像素分辨率可高达3840x2160；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2、激光传输：无损失的信息传输、抗干扰能力强，通信量大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3、具有特殊光染色功能，有助于临床提高早癌检出率；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4、具有分屏实时动态显示普通模式图像与分光染色模式图像的功能；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5、具有Hbe血液强化功能，可突出显示血液中的血红素，强化显示血管及富含血液组织；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6、具有自动调光功能,可以选择平均测光、峰值测光和自动测光三种模式；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7、具有结构强化及轮廓强化功能，4档可调；</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8、具备三色调节：“R”红色调节，“B”蓝色调节“C”色度调节；</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9、具有内窥镜自动识别功能；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10、具有自平衡功能，能使图像的色彩更接近实际；</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11、可冻结实时图像、缓存32幅冻结图像。冻结图像也还可进行血液强化、结构强化、轮廓强化、数字放大等图像处理；</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12、具有数字放大功能，数字放大功能可将内镜图像进行1. 2 倍、1. 5 倍、2 倍三档放大；</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13、具有USB 存储功能，可在U 盘中存储视频和图片，具备录像功能；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14、具有射频识别功能：能够向射频卡内写入图像处理器配置信息,具备人脸识别功能；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15、支持画中画显示功能。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16、主机操控面板为液晶触摸屏控制，屏幕尺寸≥10英寸。</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二、医用内窥镜冷光源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数量：1台</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1、主机光源为分体机设计，检查灯为不少于5路LED照明，可实现特殊光观察功能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2、具有应急灯设计，保证在操作过程中的安全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3、主灯照度可调节，分手动和自动调节两种模式，调节级别≥100；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4、送气功能：分为低、中、高3级压力开关，气泵压力:40-90KPa；</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5、无线供电技术，抗干扰，防止漏电风险。</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6、色温3000k-7000k。</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7、具备≥4种特殊光模式，便于临床进行相关早癌筛查。</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8、支持带电热插拔功能。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三、上消化道电子内窥镜</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数量1根</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1、CMOS图像传感器；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2、视场角：≥145°；</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3、头端部外径：≤9.2mm；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4、主软管外径：≤9.2mm；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5、最大插入部外径≤10.2mm；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6、景深：2-100 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7、弯曲角度 上≥210°、下≥90°、左右各≥100°；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8、钳道孔径：≥2.8mm；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9、工作长度：≥1050mm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10、一体式全防水设计接头；</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11、支持热插拔：一键式插拔接头；</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12、具有副送水功能。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13、胃镜先端采用三光窗照明方式。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四、电子结肠内窥镜</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数量：1根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1、图像传感器；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2、视场角：≥170°；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3、头端部外径：≤12.2 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4、主软管外径：≤12.2 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5、最大插入部外径≤13.6mm；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6、景深：2-100 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7、弯曲角度上下各≥180°左右各≥160°；</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8、钳道孔径：≥3.7mm；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9、工作长度：≥1300mm；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10、一体式全防水设计；</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11、支持热插拔：一键式插拔接头；</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12、具有副送水功能。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  13、具备≥4级镜身软硬度可调功能。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五、其它附属设备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1、台车一台；</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2、≥32寸高清晰度医用显示器。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3、水泵一台。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碳—13幽门螺杆菌检测仪</w:t>
            </w:r>
          </w:p>
        </w:tc>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1、适宜广泛人群检测，包括孕妇、儿童等人群。</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2、检测项目：能进行胃幽门螺杆菌的检测。</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3、提供配套的检测幽螺门杆菌等的检测试剂。</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4、提供与该设备配套使用的试剂的有效注册证、试剂GMP认证等并提供证书复印件。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5、能够一次链接病连续检测10个气袋样本，能统一或分别打印中文检测报告，气体采集器有注册证件。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6、分析速度：样品分析时间＜3min/每个样品。</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7、所需样本体积：≤120ML/袋。</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8、设备预热时间≤20分钟。</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9、红外光谱13CO2/12CO2探测器，高精密度高选择性，使用寿命长需10年以上。</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10、红外光源：采用瑞士进口红外电子脉冲光源，避免机械斩光设计的干扰，发光稳定，可连续工作三万个小时。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11、精密度：δsd不超过0.3‰ ，C.V.不超过±2%。</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12、孔间差：△δ不超过0.4‰。</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13、稳定性：在8小时内测量，C.V.不超过±2%。</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14、CO2线性：CO2浓度在1%-6%范围内，相关系数R≥0.99</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15、准确性：测定DOB在10的气体，偏差不超过±13%。</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16、内在和外部重复性误差均小于0.3‰，精密度：δsd≤0.3‰。</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17、仪器具有自检功能：具有自检，标气校正，曲线校正等功能。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18、具有双操作系统：独立工作模式和电脑模式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19、数据处理工作站配置要求：国际品牌电脑，内存≥2G，硬盘≥250G，17寸液晶显示器，激光打印机；全中文数据管理软件：可以自动分析、检测样品并完成各种脏器代谢动力曲线，直观、准确的提供正规的诊断报告，可打印中文报告单并能根据医院要求自行更改打印模板。</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20、要求提供设备配套使用的尿素 13C 呼气试验药盒所提供的制剂剂型既能有效规避假阳 性又能有效规避假阴性。</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21、要求提供设备配套使用的尿素 13C 呼气试验药盒所提供的采样系统有完好的呼气结束瞬 间密闭装置（其中的呼气样品袋须内置自动止回阀），以保证呼出气样品合格的密闭性，不能有丝毫泄露。</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22、要求提供设备配套使用的尿素 13C 呼气试验药盒所提供的制剂采样时长不超过 20 分钟， 最大限度减少医护人员工作量及患者的待诊时间。</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23、设备接口为止回阀专用适配器接口，可接驳内置止回阀的专用自动密封气袋。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空气消毒机</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1、适用体积：≥60m³；</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2、外形：平板壁挂式；</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3、外观尺寸：100cm×40cm×22cm（±1cm）；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4、循环消毒风量：≥600m3/h；</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5、紫外线辐照强度：≥7.22×103μW/cm2（提供垂直距离灯管15cm处的第三方检测报告复印件）；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6、紫外线管寿命：≥5000h；</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7、消毒时空气中臭氧量：≤0.03mg/m3；</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8、紫外线灯管数量：≥6支（交付现场验收）；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9、自然菌消亡率：≥98%（提供第三方检测报告复印件）；</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10、消毒后空气中细菌总数：≤33cfu/m3（提供第三方检测报告复印件）。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多参数病人监护仪</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一、整机要求</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1、模块化监护仪，主机集成内置≥2槽位插件槽，可支持IBP，CO2，AG和BIS任意参数模块的即插即用快速扩展临床应用。2、整机无风扇设计，防水等级IPX1或更高。 3、≥10.1英寸彩色液晶触摸屏，分辨率高达≥1280*800像素，≥8通道波形显示。4、屏幕具备170度宽视角设计技术。5、可支持遥控器无线操作监护仪。6、内置锂电池，插槽式设计，无需螺丝刀工具支持快速拆卸和安装。锂电池支持监护仪工作时间≥4小时。7、安全规格：ECG, TEMP, IBP, SpO2 , NIBP监测参数抗电击程度为防除颤CF型。8、监护仪设计使用年限≥8年。9、监护仪清洁消毒维护支持的消毒剂≥40种，在厂家手册中清晰列举消毒剂的种类。</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二、监测参数</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配置3/5导心电，呼吸，无创血压，血氧饱和度，脉搏和双通道体温参数监测。2、心电监护支持心率，ST段测量，心律失常分析，QT/QTc连续实时测量和对应报警功能。3、心电算法通过AHA/MIT-BIH数据库验证，提供彩页或其他有效证明材料。4、心电波形扫描速度支持6.25mm/s、12.5 mm/s、25 mm/s和50 mm/s。5、提供窗口支持心脏下壁，侧壁和前壁对应多个ST片段的同屏实时显示，提供参考片段和实时片段的对比查看。6、支持≥20种心律失常分析,包括房颤分析。7、QT和QTc实时监测参数测量范围：200～800 ms。8、支持升级提供过去24小时心电概览报告查看与打印，包括心率统计结果，心律失常统计结果，ST统计和QT/QTc统计结果。9、提供SpO2,PR和PI参数的实时监测，适用于成人，小儿和新生儿。10、支持指套式血氧探头，IPX7防水等级，支持液体浸泡消毒和清洁。11、配置无创血压测量，适用于成人，小儿和新生儿。12、提供手动，自动，连续和序列4种测量模式，并提供24小时动态血压统计结果。13、无创血压成人测量范围：收缩压25~290mmHg，舒张10~250mmHg，平均压15~260mmHg。14、提供辅助静脉穿刺功能。15、提供双通道体温和温差参数的监测, 并可根据需要更改体温通道标名。16、配置2通道有创压监测，动脉压监测时支持同步监测PPV，适用于成人，小儿和新生儿，通过国家三类注册认证。17、支持升级移动监护功能，医用级穿戴传感器，可监测心电、呼吸、无创血压、血氧饱和度、脉搏和体温，并支持非生理参数监测，如运动时间、夜间静息时间和疼痛评分，监测数据通过无线发送至监护仪。移动模块采用防水抗摔设计，防水等级≥IPX2，通过1.5米6面跌落测试。18、测量血压时，先选择病人类型，病人类型包括新生儿，小儿和成人，选择了对应的病人类型，可以看到对应的血压正常值范围。当选择了病人类型时，还应有对应病人类型配备的附件，比如新生儿血压袖带，小儿血压袖带或者成人血压袖带。19、血压测量范围从零起步。</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三、系统功能</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1、支持所有监测参数报警限一键自动设置功能，满足医护团队快速管理患者报警需求，产品用户手册提供报警限自动设置规则。2、支持肾功能计算功能。3、具有图形化技术报警指示功能，帮助医护团队快速识别报警来源。4、支持≥120小时趋势图和趋势表回顾，支持选择不同趋势组回顾。5、支持≥1000条事件回顾。每条报警事件至少能够存储32秒三道相关波形，以及报警触发时所有测量参数值。6、支持≥1000组NIBP测量结果的存储与回顾。7、支持≥120小时（分辨率1分钟）ST模板存储与回顾。8、支持≥48小时全息波形的存储与回顾功能。9、支持监护仪历史病人数据的存储和回顾，并支持通过USB接口将历史病人数据导出到U盘。10、支持RJ45接口进行有线网络通信，和除颤监护仪一起联网通信到中心监护系统。11、支持进入夜间模式，隐私模式，演示模式和待机模式。12、配置临床评分系统，包括MEWS（改良早期预警评分）、NEWS（英国早期预警评分），可支持定时自动EWS评分功能。13、提供计时器功能，界面区提供设置≥4个计时器，每个计时器支持独立设置和计时功能，计时方向包括正计时和倒计时两种选择。14、支持格拉斯哥昏迷评分（GCS）功能。15、动态趋势界面可支持统计1-24小时心律失常报警、参数超限报警信息，并对超限报警区间的波形进行高亮显示，帮助医护人员快速识别异常趋势信息。16、提供屏幕截图功能，将屏幕截图通过USB接口导出到U盘。17、支持它床观察，可同时监视≥12它床的报警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麻醉机</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1.电源：100-240V，50/60HZ，断电工作时间至少45分钟。</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2.显示屏：≥10寸的彩色大屏幕，能够直接检测潮气量、分钟通气量、呼吸频率等基本参数与压力波形。</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3.呼吸机：气动电控或电动电控呼吸机，成人、小儿应用不需更换风箱。呼吸模式包括容量控制通气(IPPV CMV)和压力限制模式（PLV）。具备压力控制通气(PCV)，同步间歇指令通气模式（SIMV）。潮气量设置值（容量控制模式下）：最小值≤20ml。分钟通气量：1～30L。压力限制： 15～70cmH2O。呼吸频率： 4～60次/分。吸呼比： 4：1～1：4。吸气暂停时间和吸气时间比： 0～50%。呼气末正压（PEEP）：无自动PEEP， 0、1、2、3～20cmH2O范围内可连续设置。吸气压力： 5～65cmH2O。吸气流速： 10～75L/min。氧气浓度： 21%～99%。</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最小窒息通气频率：3-20bpm。触发水平：2-15L/min。快速充氧：25-75L/min。气源失效时，呼吸机可利用室内空气继续通气。</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呼吸回路:为避免积水,呼吸回路必须具有回路加热系统。所有部件不含橡胶成分，并且可以直接高温高压消毒。单个二氧化碳吸收罐容量≥1.5L。可以配置一次性二氧化碳吸收罐。回路中具有旋钮式APL调节阀。APL阀控制输入范围：手动模式5-70cmH2O，自主模式1.5cmH2O。具有新鲜气体隔离技术，保证潮气量输送不受新鲜气体流量影响，潮气量精确。</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5.流量计：双气、双管（氧气、空气或笑气）,带低流量管、适合低流量麻醉。流量计：基础流量≥0.02 L/min， 调节范围0.02-10.0L/min。</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挥发罐：装机时配备一个与麻醉机同品牌七氟醚挥发罐，可选配同品牌地氟醚挥发罐。双挥发罐位，带互锁装置，拆除挥发罐时，接口自动关闭并密封。挥发罐具温度、压力、流量补偿装置。挥发罐无需排空转运。输出精度误差±0.01%。挥发罐具有防倾斜装置且出厂后不再专门维护及定标。</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7.机体：具氧气压力过低报警装置。可靠稳定的刹车装置。为方便麻醉手术,要求机身自带至少3个大抽屉。普通气体出口压力限制：≤13psi。氧传感器的使用寿命≥12个月。</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8.麻醉机监测系统：呼吸机的监测信息和新鲜气体信息一起显示在一个中央屏幕上。主要监测内容：平均压、平台压、气道峰压,PEEP，压力波形曲线,分钟通气量，潮气量，呼吸频率,吸入氧浓度。具备ETCO2和包括七氟烷在内的五种麻醉气体浓度监测功能的模块或装置。9.麻醉机可以自主设置参数及报警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多功能电动手术床</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 xml:space="preserve">1、手术台长度 2050±50mm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2、手术台台面宽度 550mm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3、头板长度≥260mm,宽度≥375mm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4、背板长度≥480mm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5、腰桥长度≥100mm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6、分体式腿板，每个腿板长度≥520mm.宽度≥270mm</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7、电源电压 220V±10%  50Hz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8、功率 500VA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9、手术台功能调节范围：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a)前后倾 ≥20°（电动）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b)左右倾 ≥15°（电动）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c)头板 上折≥90°，下折≥90°（手动）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d)前后水平移动 ≥300mm（电动）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e)背板 上折≥80°（电动）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f)背板 下折≥40°（电动）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g)腰桥升降高度≥120mm（手动）</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h)腿板 下折≥90°，水平外展≥90°（手动）  </w:t>
            </w:r>
            <w:r>
              <w:rPr>
                <w:rFonts w:hint="eastAsia" w:ascii="等线" w:hAnsi="等线" w:eastAsia="等线" w:cs="等线"/>
                <w:i w:val="0"/>
                <w:iCs w:val="0"/>
                <w:color w:val="000000"/>
                <w:kern w:val="0"/>
                <w:sz w:val="24"/>
                <w:szCs w:val="24"/>
                <w:u w:val="none"/>
                <w:lang w:val="en-US" w:eastAsia="zh-CN" w:bidi="ar"/>
              </w:rPr>
              <w:br w:type="textWrapping"/>
            </w:r>
            <w:r>
              <w:rPr>
                <w:rFonts w:hint="eastAsia" w:ascii="等线" w:hAnsi="等线" w:eastAsia="等线" w:cs="等线"/>
                <w:i w:val="0"/>
                <w:iCs w:val="0"/>
                <w:color w:val="000000"/>
                <w:kern w:val="0"/>
                <w:sz w:val="24"/>
                <w:szCs w:val="24"/>
                <w:u w:val="none"/>
                <w:lang w:val="en-US" w:eastAsia="zh-CN" w:bidi="ar"/>
              </w:rPr>
              <w:t xml:space="preserve">i)手术台国标最低及最高(720-1020mm)±50mm（电动）                       10、手术床最大承重：≥110kg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8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加温毯</w:t>
            </w:r>
          </w:p>
        </w:tc>
        <w:tc>
          <w:tcPr>
            <w:tcW w:w="4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医疗设备</w:t>
            </w:r>
          </w:p>
        </w:tc>
        <w:tc>
          <w:tcPr>
            <w:tcW w:w="1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1、提供所投产品的中华人民共和国医疗器械注册证；参数证明材料要求为生产厂家产品注册资料：产品说明书、注册检验报告、产品技术要求。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2、噪音：高速运行＜49分贝。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3、五个温度档位，满足YY0834-2011标准。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（1）室温  可作为降温的有益补偿。（2）低温档 32℃ （±1.4℃）。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（3）中温档 35℃ （±1.4℃）。（4）中温档 38℃ （±1.4℃）。（5）高温档 41℃ （±1.4℃）。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4、室温、设置温度和当前温度，三温度同屏显示，且当前温度显示精准度0.1℃。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5、3个温度传感器，同时内置3个过热感应器，确保设备连续运行。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6、设备安全性能：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（1）开机系统有安全自检功能。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（2）具有视觉和听觉报警功能：高低报警，报警信息以图示、错误代码、中文故障提示信息，直观的在主面板上显示，并发出提示音，多重警示，保障使用安全。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（3）高温报警功能：出风口在任何条件下，高于42℃直接实施高温报警停机。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（4）工作过程中，出风口的温度高于/低于设置温2℃，实施高温/低温报警停机。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（5）低温报警功能：开机运行3分钟出风口的温度达不到设置温度，直接实施低温报警停机。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7、风速档3个；高速＞35CFM。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8、校准功能：具有自动校准等功能。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9、升降温速度快，3分钟内稳定在设置温范围内。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10、防水等级IPX2，功率＜1000VA;重量＜3.5KG，可以固定在输液架、专用滑轮移动支架等，或放置在硬质表面上；便携方便。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11、过滤器：采用两层空气过滤系统，高效空气过滤器≤0.2微米。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12、准确记录工作时间和运行时间，并具有维护提示，满足运行＞800h提示更换过滤器。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13、软管有弹性，方便灵活，耐磨，柔韧性、密封性好，长度＞1.8米。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14、电源条件220VA，电源线5米。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15、设备Ⅰ类、BF型普通设备、连续运行设备，符合IEC60601-1和符合IEC60601-1-2的要求；操作环境：环境温度(5-30)℃，相对湿度(30-75)%RH，大气压力(700-1060)hPa。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16、配置的运用部分：体表升温毯性能为结构性透气，无风感均匀透气；可透X射线。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17、升温毯型号＞30个。（包括成人垫毯、儿科毯、婴儿垫毯、导管室垫毯、心脏外科垫毯、截石位垫毯、胸颈部毯等毯型，满足不同类型手术的需求）。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18、设备符合YY 0505-2012要求；GB 4824-2019 分类B类。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等线" w:hAnsi="等线" w:eastAsia="等线" w:cs="等线"/>
                <w:i w:val="0"/>
                <w:iCs w:val="0"/>
                <w:color w:val="000000"/>
                <w:sz w:val="24"/>
                <w:szCs w:val="24"/>
                <w:u w:val="none"/>
              </w:rPr>
            </w:pPr>
          </w:p>
        </w:tc>
        <w:tc>
          <w:tcPr>
            <w:tcW w:w="8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等线" w:hAnsi="等线" w:eastAsia="等线" w:cs="等线"/>
                <w:i w:val="0"/>
                <w:iCs w:val="0"/>
                <w:color w:val="000000"/>
                <w:sz w:val="24"/>
                <w:szCs w:val="24"/>
                <w:u w:val="none"/>
              </w:rPr>
            </w:pPr>
          </w:p>
        </w:tc>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27</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等线" w:hAnsi="等线" w:eastAsia="等线" w:cs="等线"/>
                <w:i w:val="0"/>
                <w:iCs w:val="0"/>
                <w:color w:val="000000"/>
                <w:sz w:val="24"/>
                <w:szCs w:val="24"/>
                <w:u w:val="none"/>
              </w:rPr>
            </w:pPr>
          </w:p>
        </w:tc>
        <w:tc>
          <w:tcPr>
            <w:tcW w:w="14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等线" w:hAnsi="等线" w:eastAsia="等线" w:cs="等线"/>
                <w:i w:val="0"/>
                <w:iCs w:val="0"/>
                <w:color w:val="000000"/>
                <w:sz w:val="24"/>
                <w:szCs w:val="24"/>
                <w:u w:val="none"/>
              </w:rPr>
            </w:pPr>
          </w:p>
        </w:tc>
      </w:tr>
    </w:tbl>
    <w:p>
      <w:pPr>
        <w:pStyle w:val="2"/>
        <w:rPr>
          <w:rFonts w:hint="eastAsia"/>
          <w:lang w:val="en-US" w:eastAsia="zh-CN"/>
        </w:rPr>
      </w:pPr>
    </w:p>
    <w:p>
      <w:pPr>
        <w:pStyle w:val="2"/>
        <w:rPr>
          <w:rFonts w:hint="eastAsia" w:ascii="宋体" w:hAnsi="宋体"/>
          <w:color w:val="000000"/>
          <w:sz w:val="24"/>
          <w:highlight w:val="none"/>
        </w:rPr>
      </w:pPr>
    </w:p>
    <w:p>
      <w:pPr>
        <w:rPr>
          <w:rFonts w:hint="eastAsia" w:ascii="宋体" w:hAnsi="宋体"/>
          <w:color w:val="000000"/>
          <w:sz w:val="24"/>
          <w:highlight w:val="none"/>
        </w:rPr>
      </w:pPr>
    </w:p>
    <w:p>
      <w:pPr>
        <w:pStyle w:val="2"/>
        <w:rPr>
          <w:rFonts w:hint="eastAsia" w:ascii="宋体" w:hAnsi="宋体"/>
          <w:color w:val="000000"/>
          <w:sz w:val="24"/>
          <w:highlight w:val="none"/>
        </w:rPr>
      </w:pPr>
    </w:p>
    <w:p>
      <w:pPr>
        <w:rPr>
          <w:rFonts w:hint="eastAsia" w:ascii="宋体" w:hAnsi="宋体"/>
          <w:color w:val="000000"/>
          <w:sz w:val="24"/>
          <w:highlight w:val="none"/>
        </w:rPr>
      </w:pPr>
    </w:p>
    <w:p>
      <w:pPr>
        <w:pStyle w:val="2"/>
        <w:rPr>
          <w:rFonts w:hint="eastAsia" w:ascii="宋体" w:hAnsi="宋体"/>
          <w:color w:val="000000"/>
          <w:sz w:val="24"/>
          <w:highlight w:val="none"/>
        </w:rPr>
      </w:pPr>
    </w:p>
    <w:p>
      <w:pPr>
        <w:rPr>
          <w:rFonts w:hint="eastAsia" w:ascii="宋体" w:hAnsi="宋体"/>
          <w:color w:val="000000"/>
          <w:sz w:val="24"/>
          <w:highlight w:val="none"/>
        </w:rPr>
      </w:pPr>
    </w:p>
    <w:p>
      <w:pPr>
        <w:pStyle w:val="2"/>
        <w:rPr>
          <w:rFonts w:hint="eastAsia" w:ascii="宋体" w:hAnsi="宋体"/>
          <w:color w:val="000000"/>
          <w:sz w:val="24"/>
          <w:highlight w:val="none"/>
        </w:rPr>
      </w:pPr>
    </w:p>
    <w:p>
      <w:pPr>
        <w:rPr>
          <w:rFonts w:hint="eastAsia" w:ascii="宋体" w:hAnsi="宋体"/>
          <w:color w:val="000000"/>
          <w:sz w:val="24"/>
          <w:highlight w:val="none"/>
        </w:rPr>
      </w:pPr>
    </w:p>
    <w:p>
      <w:pPr>
        <w:ind w:firstLine="3780" w:firstLineChars="1800"/>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7752F"/>
    <w:multiLevelType w:val="singleLevel"/>
    <w:tmpl w:val="A287752F"/>
    <w:lvl w:ilvl="0" w:tentative="0">
      <w:start w:val="1"/>
      <w:numFmt w:val="decimal"/>
      <w:suff w:val="nothing"/>
      <w:lvlText w:val="（%1）"/>
      <w:lvlJc w:val="left"/>
    </w:lvl>
  </w:abstractNum>
  <w:abstractNum w:abstractNumId="1">
    <w:nsid w:val="256237FE"/>
    <w:multiLevelType w:val="singleLevel"/>
    <w:tmpl w:val="256237FE"/>
    <w:lvl w:ilvl="0" w:tentative="0">
      <w:start w:val="1"/>
      <w:numFmt w:val="decimal"/>
      <w:suff w:val="nothing"/>
      <w:lvlText w:val="（%1）"/>
      <w:lvlJc w:val="left"/>
    </w:lvl>
  </w:abstractNum>
  <w:abstractNum w:abstractNumId="2">
    <w:nsid w:val="7A59831A"/>
    <w:multiLevelType w:val="singleLevel"/>
    <w:tmpl w:val="7A59831A"/>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0MGRlNDUyYzFmN2U0ZDNlMGIzNjY3YWFjMTQ5ZmUifQ=="/>
  </w:docVars>
  <w:rsids>
    <w:rsidRoot w:val="00000000"/>
    <w:rsid w:val="06C454CC"/>
    <w:rsid w:val="08C5178A"/>
    <w:rsid w:val="0A505FB3"/>
    <w:rsid w:val="162D4D4B"/>
    <w:rsid w:val="19AB3384"/>
    <w:rsid w:val="1BB278F0"/>
    <w:rsid w:val="21870E75"/>
    <w:rsid w:val="3CEA279F"/>
    <w:rsid w:val="4D6F0528"/>
    <w:rsid w:val="51914AE2"/>
    <w:rsid w:val="5C3D0486"/>
    <w:rsid w:val="5F350D7F"/>
    <w:rsid w:val="6F203D1D"/>
    <w:rsid w:val="7190609F"/>
    <w:rsid w:val="755C41BE"/>
    <w:rsid w:val="7BDD6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11"/>
    <w:basedOn w:val="8"/>
    <w:qFormat/>
    <w:uiPriority w:val="0"/>
    <w:rPr>
      <w:rFonts w:hint="eastAsia" w:ascii="宋体" w:hAnsi="宋体" w:eastAsia="宋体" w:cs="宋体"/>
      <w:color w:val="000000"/>
      <w:sz w:val="21"/>
      <w:szCs w:val="21"/>
      <w:u w:val="none"/>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2024-06-18T08:27:00Z</dcterms:created>
  <dc:creator>Administrator</dc:creator>
  <cp:lastModifiedBy>一哥</cp:lastModifiedBy>
  <dcterms:modified xsi:type="dcterms:W3CDTF">2024-09-18T09:06:23Z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DD60B59F3BF941E8BB5DFB03BA0258CD_12</vt:lpwstr>
  </property>
</Properties>
</file>